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46536D" w:rsidRPr="007B116A" w:rsidP="00C13F69">
      <w:pPr>
        <w:spacing w:after="0" w:line="360" w:lineRule="auto"/>
        <w:jc w:val="both"/>
        <w:rPr>
          <w:rFonts w:eastAsiaTheme="majorEastAsia" w:cstheme="minorHAnsi"/>
          <w:spacing w:val="4"/>
          <w:sz w:val="28"/>
          <w:szCs w:val="28"/>
        </w:rPr>
      </w:pPr>
    </w:p>
    <w:sdt>
      <w:sdtPr>
        <w:rPr>
          <w:rFonts w:asciiTheme="minorHAnsi" w:eastAsiaTheme="minorEastAsia" w:hAnsiTheme="minorHAnsi" w:cstheme="minorHAnsi"/>
          <w:b w:val="0"/>
          <w:bCs w:val="0"/>
          <w:caps/>
          <w:smallCaps w:val="0"/>
          <w:color w:val="auto"/>
          <w:sz w:val="22"/>
          <w:szCs w:val="22"/>
        </w:rPr>
        <w:id w:val="1700581795"/>
        <w:docPartObj>
          <w:docPartGallery w:val="Table of Contents"/>
          <w:docPartUnique/>
        </w:docPartObj>
      </w:sdtPr>
      <w:sdtEndPr>
        <w:rPr>
          <w:caps w:val="0"/>
          <w:noProof/>
        </w:rPr>
      </w:sdtEndPr>
      <w:sdtContent>
        <w:p w:rsidR="001D509B" w:rsidRPr="00F07E64" w:rsidP="00A62639">
          <w:pPr>
            <w:pStyle w:val="TOCHeading"/>
            <w:numPr>
              <w:ilvl w:val="0"/>
              <w:numId w:val="0"/>
            </w:numPr>
            <w:spacing w:before="0" w:after="0" w:line="360" w:lineRule="auto"/>
            <w:ind w:left="432" w:hanging="432"/>
            <w:jc w:val="both"/>
            <w:rPr>
              <w:rStyle w:val="Balk2Char"/>
              <w:rFonts w:cstheme="majorHAnsi"/>
              <w:b/>
            </w:rPr>
          </w:pPr>
          <w:r w:rsidRPr="00F07E64">
            <w:rPr>
              <w:rStyle w:val="Balk2Char"/>
              <w:rFonts w:cstheme="majorHAnsi"/>
              <w:b/>
            </w:rPr>
            <w:t>İÇİNDEKİLER</w:t>
          </w:r>
        </w:p>
        <w:p w:rsidR="00F07E64" w:rsidRPr="00F07E64" w:rsidP="00C13F69">
          <w:pPr>
            <w:spacing w:after="0" w:line="360" w:lineRule="auto"/>
            <w:rPr>
              <w:rFonts w:asciiTheme="majorHAnsi" w:hAnsiTheme="majorHAnsi" w:cstheme="majorHAnsi"/>
              <w:b/>
            </w:rPr>
          </w:pPr>
        </w:p>
        <w:p w:rsidR="00403241">
          <w:pPr>
            <w:pStyle w:val="TOC1"/>
            <w:tabs>
              <w:tab w:val="left" w:pos="440"/>
              <w:tab w:val="right" w:leader="dot" w:pos="9060"/>
            </w:tabs>
            <w:rPr>
              <w:noProof/>
              <w:lang w:eastAsia="tr-TR"/>
            </w:rPr>
          </w:pPr>
          <w:r w:rsidRPr="00F07E64">
            <w:rPr>
              <w:rFonts w:asciiTheme="majorHAnsi" w:hAnsiTheme="majorHAnsi" w:cstheme="majorHAnsi"/>
              <w:b/>
            </w:rPr>
            <w:fldChar w:fldCharType="begin"/>
          </w:r>
          <w:r w:rsidRPr="00F07E64">
            <w:rPr>
              <w:rFonts w:asciiTheme="majorHAnsi" w:hAnsiTheme="majorHAnsi" w:cstheme="majorHAnsi"/>
              <w:b/>
            </w:rPr>
            <w:instrText xml:space="preserve"> TOC \o "1-3" \h \z \u </w:instrText>
          </w:r>
          <w:r w:rsidRPr="00F07E64">
            <w:rPr>
              <w:rFonts w:asciiTheme="majorHAnsi" w:hAnsiTheme="majorHAnsi" w:cstheme="majorHAnsi"/>
              <w:b/>
            </w:rPr>
            <w:fldChar w:fldCharType="separate"/>
          </w:r>
          <w:hyperlink w:anchor="_Toc175057721" w:history="1">
            <w:r w:rsidRPr="00AD2885">
              <w:rPr>
                <w:rStyle w:val="Hyperlink"/>
                <w:noProof/>
              </w:rPr>
              <w:t>1</w:t>
            </w:r>
            <w:r>
              <w:rPr>
                <w:noProof/>
                <w:lang w:eastAsia="tr-TR"/>
              </w:rPr>
              <w:tab/>
            </w:r>
            <w:r w:rsidRPr="00AD2885">
              <w:rPr>
                <w:rStyle w:val="Hyperlink"/>
                <w:noProof/>
              </w:rPr>
              <w:t>Amaç</w:t>
            </w:r>
            <w:r>
              <w:rPr>
                <w:noProof/>
                <w:webHidden/>
              </w:rPr>
              <w:tab/>
            </w:r>
            <w:r>
              <w:rPr>
                <w:noProof/>
                <w:webHidden/>
              </w:rPr>
              <w:fldChar w:fldCharType="begin"/>
            </w:r>
            <w:r>
              <w:rPr>
                <w:noProof/>
                <w:webHidden/>
              </w:rPr>
              <w:instrText xml:space="preserve"> PAGEREF _Toc175057721 \h </w:instrText>
            </w:r>
            <w:r>
              <w:rPr>
                <w:noProof/>
                <w:webHidden/>
              </w:rPr>
              <w:fldChar w:fldCharType="separate"/>
            </w:r>
            <w:r>
              <w:rPr>
                <w:noProof/>
                <w:webHidden/>
              </w:rPr>
              <w:t>1</w:t>
            </w:r>
            <w:r>
              <w:rPr>
                <w:noProof/>
                <w:webHidden/>
              </w:rPr>
              <w:fldChar w:fldCharType="end"/>
            </w:r>
          </w:hyperlink>
        </w:p>
        <w:p w:rsidR="00403241">
          <w:pPr>
            <w:pStyle w:val="TOC1"/>
            <w:tabs>
              <w:tab w:val="left" w:pos="440"/>
              <w:tab w:val="right" w:leader="dot" w:pos="9060"/>
            </w:tabs>
            <w:rPr>
              <w:noProof/>
              <w:lang w:eastAsia="tr-TR"/>
            </w:rPr>
          </w:pPr>
          <w:hyperlink w:anchor="_Toc175057722" w:history="1">
            <w:r w:rsidRPr="00AD2885">
              <w:rPr>
                <w:rStyle w:val="Hyperlink"/>
                <w:noProof/>
              </w:rPr>
              <w:t>2</w:t>
            </w:r>
            <w:r>
              <w:rPr>
                <w:noProof/>
                <w:lang w:eastAsia="tr-TR"/>
              </w:rPr>
              <w:tab/>
            </w:r>
            <w:r w:rsidRPr="00AD2885">
              <w:rPr>
                <w:rStyle w:val="Hyperlink"/>
                <w:noProof/>
              </w:rPr>
              <w:t>Kapsam</w:t>
            </w:r>
            <w:r>
              <w:rPr>
                <w:noProof/>
                <w:webHidden/>
              </w:rPr>
              <w:tab/>
            </w:r>
            <w:r>
              <w:rPr>
                <w:noProof/>
                <w:webHidden/>
              </w:rPr>
              <w:fldChar w:fldCharType="begin"/>
            </w:r>
            <w:r>
              <w:rPr>
                <w:noProof/>
                <w:webHidden/>
              </w:rPr>
              <w:instrText xml:space="preserve"> PAGEREF _Toc175057722 \h </w:instrText>
            </w:r>
            <w:r>
              <w:rPr>
                <w:noProof/>
                <w:webHidden/>
              </w:rPr>
              <w:fldChar w:fldCharType="separate"/>
            </w:r>
            <w:r>
              <w:rPr>
                <w:noProof/>
                <w:webHidden/>
              </w:rPr>
              <w:t>1</w:t>
            </w:r>
            <w:r>
              <w:rPr>
                <w:noProof/>
                <w:webHidden/>
              </w:rPr>
              <w:fldChar w:fldCharType="end"/>
            </w:r>
          </w:hyperlink>
        </w:p>
        <w:p w:rsidR="00403241">
          <w:pPr>
            <w:pStyle w:val="TOC1"/>
            <w:tabs>
              <w:tab w:val="left" w:pos="440"/>
              <w:tab w:val="right" w:leader="dot" w:pos="9060"/>
            </w:tabs>
            <w:rPr>
              <w:noProof/>
              <w:lang w:eastAsia="tr-TR"/>
            </w:rPr>
          </w:pPr>
          <w:hyperlink w:anchor="_Toc175057723" w:history="1">
            <w:r w:rsidRPr="00AD2885">
              <w:rPr>
                <w:rStyle w:val="Hyperlink"/>
                <w:noProof/>
              </w:rPr>
              <w:t>3</w:t>
            </w:r>
            <w:r>
              <w:rPr>
                <w:noProof/>
                <w:lang w:eastAsia="tr-TR"/>
              </w:rPr>
              <w:tab/>
            </w:r>
            <w:r w:rsidRPr="00AD2885">
              <w:rPr>
                <w:rStyle w:val="Hyperlink"/>
                <w:noProof/>
              </w:rPr>
              <w:t>Tanımlar</w:t>
            </w:r>
            <w:r>
              <w:rPr>
                <w:noProof/>
                <w:webHidden/>
              </w:rPr>
              <w:tab/>
            </w:r>
            <w:r>
              <w:rPr>
                <w:noProof/>
                <w:webHidden/>
              </w:rPr>
              <w:fldChar w:fldCharType="begin"/>
            </w:r>
            <w:r>
              <w:rPr>
                <w:noProof/>
                <w:webHidden/>
              </w:rPr>
              <w:instrText xml:space="preserve"> PAGEREF _Toc175057723 \h </w:instrText>
            </w:r>
            <w:r>
              <w:rPr>
                <w:noProof/>
                <w:webHidden/>
              </w:rPr>
              <w:fldChar w:fldCharType="separate"/>
            </w:r>
            <w:r>
              <w:rPr>
                <w:noProof/>
                <w:webHidden/>
              </w:rPr>
              <w:t>2</w:t>
            </w:r>
            <w:r>
              <w:rPr>
                <w:noProof/>
                <w:webHidden/>
              </w:rPr>
              <w:fldChar w:fldCharType="end"/>
            </w:r>
          </w:hyperlink>
        </w:p>
        <w:p w:rsidR="00403241">
          <w:pPr>
            <w:pStyle w:val="TOC1"/>
            <w:tabs>
              <w:tab w:val="left" w:pos="440"/>
              <w:tab w:val="right" w:leader="dot" w:pos="9060"/>
            </w:tabs>
            <w:rPr>
              <w:noProof/>
              <w:lang w:eastAsia="tr-TR"/>
            </w:rPr>
          </w:pPr>
          <w:hyperlink w:anchor="_Toc175057724" w:history="1">
            <w:r w:rsidRPr="00AD2885">
              <w:rPr>
                <w:rStyle w:val="Hyperlink"/>
                <w:noProof/>
              </w:rPr>
              <w:t>4</w:t>
            </w:r>
            <w:r>
              <w:rPr>
                <w:noProof/>
                <w:lang w:eastAsia="tr-TR"/>
              </w:rPr>
              <w:tab/>
            </w:r>
            <w:r w:rsidRPr="00AD2885">
              <w:rPr>
                <w:rStyle w:val="Hyperlink"/>
                <w:noProof/>
              </w:rPr>
              <w:t>Genel İlkeler</w:t>
            </w:r>
            <w:r>
              <w:rPr>
                <w:noProof/>
                <w:webHidden/>
              </w:rPr>
              <w:tab/>
            </w:r>
            <w:r>
              <w:rPr>
                <w:noProof/>
                <w:webHidden/>
              </w:rPr>
              <w:fldChar w:fldCharType="begin"/>
            </w:r>
            <w:r>
              <w:rPr>
                <w:noProof/>
                <w:webHidden/>
              </w:rPr>
              <w:instrText xml:space="preserve"> PAGEREF _Toc175057724 \h </w:instrText>
            </w:r>
            <w:r>
              <w:rPr>
                <w:noProof/>
                <w:webHidden/>
              </w:rPr>
              <w:fldChar w:fldCharType="separate"/>
            </w:r>
            <w:r>
              <w:rPr>
                <w:noProof/>
                <w:webHidden/>
              </w:rPr>
              <w:t>2</w:t>
            </w:r>
            <w:r>
              <w:rPr>
                <w:noProof/>
                <w:webHidden/>
              </w:rPr>
              <w:fldChar w:fldCharType="end"/>
            </w:r>
          </w:hyperlink>
        </w:p>
        <w:p w:rsidR="00403241">
          <w:pPr>
            <w:pStyle w:val="TOC1"/>
            <w:tabs>
              <w:tab w:val="left" w:pos="440"/>
              <w:tab w:val="right" w:leader="dot" w:pos="9060"/>
            </w:tabs>
            <w:rPr>
              <w:noProof/>
              <w:lang w:eastAsia="tr-TR"/>
            </w:rPr>
          </w:pPr>
          <w:hyperlink w:anchor="_Toc175057725" w:history="1">
            <w:r w:rsidRPr="00AD2885">
              <w:rPr>
                <w:rStyle w:val="Hyperlink"/>
                <w:noProof/>
              </w:rPr>
              <w:t>5</w:t>
            </w:r>
            <w:r>
              <w:rPr>
                <w:noProof/>
                <w:lang w:eastAsia="tr-TR"/>
              </w:rPr>
              <w:tab/>
            </w:r>
            <w:r w:rsidRPr="00AD2885">
              <w:rPr>
                <w:rStyle w:val="Hyperlink"/>
                <w:noProof/>
              </w:rPr>
              <w:t>Yetki ve Sorumluluklar</w:t>
            </w:r>
            <w:r>
              <w:rPr>
                <w:noProof/>
                <w:webHidden/>
              </w:rPr>
              <w:tab/>
            </w:r>
            <w:r>
              <w:rPr>
                <w:noProof/>
                <w:webHidden/>
              </w:rPr>
              <w:fldChar w:fldCharType="begin"/>
            </w:r>
            <w:r>
              <w:rPr>
                <w:noProof/>
                <w:webHidden/>
              </w:rPr>
              <w:instrText xml:space="preserve"> PAGEREF _Toc175057725 \h </w:instrText>
            </w:r>
            <w:r>
              <w:rPr>
                <w:noProof/>
                <w:webHidden/>
              </w:rPr>
              <w:fldChar w:fldCharType="separate"/>
            </w:r>
            <w:r>
              <w:rPr>
                <w:noProof/>
                <w:webHidden/>
              </w:rPr>
              <w:t>3</w:t>
            </w:r>
            <w:r>
              <w:rPr>
                <w:noProof/>
                <w:webHidden/>
              </w:rPr>
              <w:fldChar w:fldCharType="end"/>
            </w:r>
          </w:hyperlink>
        </w:p>
        <w:p w:rsidR="00403241">
          <w:pPr>
            <w:pStyle w:val="TOC1"/>
            <w:tabs>
              <w:tab w:val="left" w:pos="440"/>
              <w:tab w:val="right" w:leader="dot" w:pos="9060"/>
            </w:tabs>
            <w:rPr>
              <w:noProof/>
              <w:lang w:eastAsia="tr-TR"/>
            </w:rPr>
          </w:pPr>
          <w:hyperlink w:anchor="_Toc175057726" w:history="1">
            <w:r w:rsidRPr="00AD2885">
              <w:rPr>
                <w:rStyle w:val="Hyperlink"/>
                <w:noProof/>
              </w:rPr>
              <w:t>6</w:t>
            </w:r>
            <w:r>
              <w:rPr>
                <w:noProof/>
                <w:lang w:eastAsia="tr-TR"/>
              </w:rPr>
              <w:tab/>
            </w:r>
            <w:r w:rsidRPr="00AD2885">
              <w:rPr>
                <w:rStyle w:val="Hyperlink"/>
                <w:noProof/>
              </w:rPr>
              <w:t>Uygulama</w:t>
            </w:r>
            <w:r>
              <w:rPr>
                <w:noProof/>
                <w:webHidden/>
              </w:rPr>
              <w:tab/>
            </w:r>
            <w:r>
              <w:rPr>
                <w:noProof/>
                <w:webHidden/>
              </w:rPr>
              <w:fldChar w:fldCharType="begin"/>
            </w:r>
            <w:r>
              <w:rPr>
                <w:noProof/>
                <w:webHidden/>
              </w:rPr>
              <w:instrText xml:space="preserve"> PAGEREF _Toc175057726 \h </w:instrText>
            </w:r>
            <w:r>
              <w:rPr>
                <w:noProof/>
                <w:webHidden/>
              </w:rPr>
              <w:fldChar w:fldCharType="separate"/>
            </w:r>
            <w:r>
              <w:rPr>
                <w:noProof/>
                <w:webHidden/>
              </w:rPr>
              <w:t>3</w:t>
            </w:r>
            <w:r>
              <w:rPr>
                <w:noProof/>
                <w:webHidden/>
              </w:rPr>
              <w:fldChar w:fldCharType="end"/>
            </w:r>
          </w:hyperlink>
        </w:p>
        <w:p w:rsidR="001D509B" w:rsidRPr="007B116A" w:rsidP="00C13F69">
          <w:pPr>
            <w:spacing w:after="0" w:line="360" w:lineRule="auto"/>
            <w:jc w:val="both"/>
            <w:rPr>
              <w:rFonts w:cstheme="minorHAnsi"/>
              <w:noProof/>
            </w:rPr>
          </w:pPr>
          <w:r w:rsidRPr="00F07E64">
            <w:rPr>
              <w:rFonts w:asciiTheme="majorHAnsi" w:hAnsiTheme="majorHAnsi" w:cstheme="majorHAnsi"/>
              <w:b/>
              <w:bCs/>
              <w:noProof/>
            </w:rPr>
            <w:fldChar w:fldCharType="end"/>
          </w:r>
        </w:p>
      </w:sdtContent>
    </w:sdt>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7957BC" w:rsidP="00C13F69">
      <w:pPr>
        <w:spacing w:after="0" w:line="360" w:lineRule="auto"/>
        <w:jc w:val="both"/>
        <w:rPr>
          <w:rFonts w:cstheme="minorHAnsi"/>
          <w:noProof/>
        </w:rPr>
        <w:sectPr w:rsidSect="007957BC">
          <w:headerReference w:type="default" r:id="rId5"/>
          <w:footerReference w:type="default" r:id="rId6"/>
          <w:pgSz w:w="11906" w:h="16838" w:code="9"/>
          <w:pgMar w:top="1418" w:right="1418" w:bottom="60" w:left="1418" w:header="1134" w:footer="0" w:gutter="0"/>
          <w:pgNumType w:fmt="lowerRoman" w:start="1"/>
          <w:cols w:space="708"/>
          <w:titlePg w:val="0"/>
          <w:docGrid w:linePitch="360"/>
        </w:sectPr>
      </w:pPr>
    </w:p>
    <w:p w:rsidR="00E07FCE" w:rsidRPr="00BB54A4" w:rsidP="00BB54A4">
      <w:pPr>
        <w:pStyle w:val="Heading1"/>
      </w:pPr>
      <w:bookmarkStart w:id="0" w:name="_Toc118798580"/>
      <w:bookmarkStart w:id="1" w:name="_Toc175057721"/>
      <w:r w:rsidRPr="00BB54A4">
        <w:t>A</w:t>
      </w:r>
      <w:bookmarkEnd w:id="0"/>
      <w:r w:rsidR="00BB54A4">
        <w:t>maç</w:t>
      </w:r>
      <w:bookmarkEnd w:id="1"/>
    </w:p>
    <w:p w:rsidR="00E07FCE" w:rsidRPr="00E07FCE" w:rsidP="00BB54A4">
      <w:pPr>
        <w:spacing w:line="360" w:lineRule="auto"/>
        <w:jc w:val="both"/>
      </w:pPr>
      <w:bookmarkStart w:id="2" w:name="_GoBack"/>
      <w:r w:rsidRPr="00E07FCE">
        <w:t>Bu politikanın amacı, ULUDAĞ ENERJİ’nin tüm faaliyetlerinde toplumsal cinsiyete dayalı ayrımcılığı ve şiddeti önlemek ve toplumsal cinsiyet eşitliği ilkesini ULUDAĞ ENERJİ’nin tüm etkinliklerinde ve uygulamalarında güvence altına almaktır.</w:t>
      </w:r>
    </w:p>
    <w:p w:rsidR="00E07FCE" w:rsidRPr="00E07FCE" w:rsidP="00BB54A4">
      <w:pPr>
        <w:spacing w:line="360" w:lineRule="auto"/>
        <w:jc w:val="both"/>
      </w:pPr>
      <w:r w:rsidRPr="00E07FCE">
        <w:t>Politika toplumsal cinsiyete dayalı ayrımcılık ve şiddet ile mücadele etmek konusundaki ULUDAĞ ENERJİ’nin kararlılığının bir göstergesi olarak bu kapsamdaki davranış kodlarının ve kurallarının belirlenmesinde rehber olarak alınacaktır. Bu politika, ULUDAĞ ENERJİ Etik Politikasının ayrılmaz bir parçasıdır.</w:t>
      </w:r>
    </w:p>
    <w:p w:rsidR="00E07FCE" w:rsidRPr="00E07FCE" w:rsidP="00BB54A4">
      <w:pPr>
        <w:pStyle w:val="Heading1"/>
        <w:jc w:val="both"/>
      </w:pPr>
      <w:bookmarkStart w:id="3" w:name="_Toc118798581"/>
      <w:bookmarkStart w:id="4" w:name="_Toc123303293"/>
      <w:bookmarkStart w:id="5" w:name="_Toc175057722"/>
      <w:bookmarkEnd w:id="2"/>
      <w:r w:rsidRPr="00E07FCE">
        <w:t>Kapsam</w:t>
      </w:r>
      <w:bookmarkEnd w:id="3"/>
      <w:bookmarkEnd w:id="4"/>
      <w:bookmarkEnd w:id="5"/>
    </w:p>
    <w:p w:rsidR="00E07FCE" w:rsidRPr="00E07FCE" w:rsidP="00BB54A4">
      <w:pPr>
        <w:spacing w:line="360" w:lineRule="auto"/>
        <w:jc w:val="both"/>
      </w:pPr>
      <w:r w:rsidRPr="00E07FCE">
        <w:t xml:space="preserve">Bu politika; </w:t>
      </w:r>
    </w:p>
    <w:p w:rsidR="00E07FCE" w:rsidRPr="00E07FCE" w:rsidP="00BB54A4">
      <w:pPr>
        <w:numPr>
          <w:ilvl w:val="0"/>
          <w:numId w:val="26"/>
        </w:numPr>
        <w:spacing w:line="360" w:lineRule="auto"/>
        <w:jc w:val="both"/>
      </w:pPr>
      <w:r w:rsidRPr="00E07FCE">
        <w:t xml:space="preserve">Şirket Yönetim Kurulu da dahil olmak üzere tüm Şirket çalışanlarını, </w:t>
      </w:r>
    </w:p>
    <w:p w:rsidR="00E07FCE" w:rsidRPr="00E07FCE" w:rsidP="00BB54A4">
      <w:pPr>
        <w:numPr>
          <w:ilvl w:val="0"/>
          <w:numId w:val="26"/>
        </w:numPr>
        <w:spacing w:line="360" w:lineRule="auto"/>
        <w:jc w:val="both"/>
      </w:pPr>
      <w:r w:rsidRPr="00E07FCE">
        <w:t xml:space="preserve">Mal ve hizmet aldığımız firmaları ve çalışanlarını, tedarikçi ve danışmanlar dahil olmak üzere Şirket adına görev yapan kişi ve kuruluşları (paydaşları) </w:t>
      </w:r>
    </w:p>
    <w:p w:rsidR="00E07FCE" w:rsidRPr="00E07FCE" w:rsidP="00BB54A4">
      <w:pPr>
        <w:spacing w:line="360" w:lineRule="auto"/>
        <w:jc w:val="both"/>
      </w:pPr>
      <w:r w:rsidRPr="00E07FCE">
        <w:t>kapsamaktadır.</w:t>
      </w:r>
    </w:p>
    <w:p w:rsidR="00E07FCE" w:rsidRPr="00E07FCE" w:rsidP="00BB54A4">
      <w:pPr>
        <w:spacing w:line="360" w:lineRule="auto"/>
        <w:jc w:val="both"/>
      </w:pPr>
      <w:r w:rsidRPr="00E07FCE">
        <w:t xml:space="preserve">Bu Politika; </w:t>
      </w:r>
    </w:p>
    <w:p w:rsidR="00E07FCE" w:rsidRPr="00E07FCE" w:rsidP="00BB54A4">
      <w:pPr>
        <w:numPr>
          <w:ilvl w:val="0"/>
          <w:numId w:val="27"/>
        </w:numPr>
        <w:spacing w:line="360" w:lineRule="auto"/>
        <w:jc w:val="both"/>
      </w:pPr>
      <w:r w:rsidRPr="00E07FCE">
        <w:t xml:space="preserve">Şirket Yönetim Kurulu’nca onaylanmış ve kamuya açıklanmış ULUDAĞ ENERJİ İş Etiği Kurallarının, </w:t>
      </w:r>
    </w:p>
    <w:p w:rsidR="00E07FCE" w:rsidRPr="00E07FCE" w:rsidP="00BB54A4">
      <w:pPr>
        <w:numPr>
          <w:ilvl w:val="0"/>
          <w:numId w:val="27"/>
        </w:numPr>
        <w:spacing w:line="360" w:lineRule="auto"/>
        <w:jc w:val="both"/>
      </w:pPr>
      <w:r w:rsidRPr="00E07FCE">
        <w:t xml:space="preserve">Birleşmiş Milletlerin Küresel İlkeler Sözleşmesi çerçevesinde benimsediğimiz ilkelerin, </w:t>
      </w:r>
    </w:p>
    <w:p w:rsidR="00E07FCE" w:rsidRPr="00E07FCE" w:rsidP="00BB54A4">
      <w:pPr>
        <w:numPr>
          <w:ilvl w:val="0"/>
          <w:numId w:val="27"/>
        </w:numPr>
        <w:spacing w:line="360" w:lineRule="auto"/>
        <w:jc w:val="both"/>
      </w:pPr>
      <w:r w:rsidRPr="00E07FCE">
        <w:t xml:space="preserve">İnsan kaynakları uygulamalarının </w:t>
      </w:r>
    </w:p>
    <w:p w:rsidR="00BB54A4" w:rsidP="00BB54A4">
      <w:pPr>
        <w:spacing w:line="360" w:lineRule="auto"/>
        <w:jc w:val="both"/>
      </w:pPr>
      <w:r w:rsidRPr="00E07FCE">
        <w:t>ayrılmaz bir parçasıdır.</w:t>
      </w:r>
    </w:p>
    <w:p w:rsidR="007957BC" w:rsidRPr="00E07FCE" w:rsidP="00BB54A4">
      <w:pPr>
        <w:spacing w:line="360" w:lineRule="auto"/>
        <w:jc w:val="both"/>
      </w:pPr>
    </w:p>
    <w:p w:rsidR="00E07FCE" w:rsidRPr="00BB54A4" w:rsidP="00BB54A4">
      <w:pPr>
        <w:pStyle w:val="Heading1"/>
        <w:jc w:val="both"/>
      </w:pPr>
      <w:bookmarkStart w:id="6" w:name="_Toc118798582"/>
      <w:bookmarkStart w:id="7" w:name="_Toc123303294"/>
      <w:bookmarkStart w:id="8" w:name="_Toc175057723"/>
      <w:r w:rsidRPr="00E07FCE">
        <w:t>Tanımlar</w:t>
      </w:r>
      <w:bookmarkEnd w:id="6"/>
      <w:bookmarkEnd w:id="7"/>
      <w:bookmarkEnd w:id="8"/>
    </w:p>
    <w:p w:rsidR="00E07FCE" w:rsidRPr="00E07FCE" w:rsidP="00BB54A4">
      <w:pPr>
        <w:spacing w:line="360" w:lineRule="auto"/>
        <w:jc w:val="both"/>
      </w:pPr>
      <w:r w:rsidRPr="00E07FCE">
        <w:rPr>
          <w:b/>
        </w:rPr>
        <w:t>Toplumsal Cinsiyete Dayalı Taciz:</w:t>
      </w:r>
      <w:r w:rsidRPr="00E07FCE">
        <w:t xml:space="preserve">  Kişiye cinsiyeti, cinsel kimliği ya da cinsel yönelimi nedeniyle yöneltilen ve eşitsiz toplumsal cinsiyet rollerini pekiştiren davranış ve sözlerdir. Kişinin cinsiyet kimliğine yönelik farklı davranmak, kişiyi aşağılamak, tehdit etmek, cinsiyet kimliğini tanımamak veya toplumsal cinsiyet rolleri üzerinden belirli bir kalıpta hareket etmesi için baskı yapmak toplumsal cinsiyete dayalı taciz kapsamına giren eylemlerdir.</w:t>
      </w:r>
    </w:p>
    <w:p w:rsidR="00E07FCE" w:rsidRPr="00E07FCE" w:rsidP="00BB54A4">
      <w:pPr>
        <w:spacing w:line="360" w:lineRule="auto"/>
        <w:jc w:val="both"/>
      </w:pPr>
      <w:r w:rsidRPr="00E07FCE">
        <w:rPr>
          <w:b/>
        </w:rPr>
        <w:t xml:space="preserve">Cinsel Taciz: </w:t>
      </w:r>
      <w:r w:rsidRPr="00E07FCE">
        <w:t>Sözle, beden diliyle veya her türlü iletişim aracıyla kişinin cinsel özgürlüğünün ihlal eden,  rızasına dayanmayan cinsel içerikli davranışların tamamıdır.</w:t>
      </w:r>
    </w:p>
    <w:p w:rsidR="00E07FCE" w:rsidRPr="00E07FCE" w:rsidP="00BB54A4">
      <w:pPr>
        <w:spacing w:line="360" w:lineRule="auto"/>
        <w:jc w:val="both"/>
      </w:pPr>
      <w:r w:rsidRPr="00E07FCE">
        <w:rPr>
          <w:b/>
        </w:rPr>
        <w:t xml:space="preserve">Cinsel Saldırı: </w:t>
      </w:r>
      <w:r w:rsidRPr="00E07FCE">
        <w:t>Kişinin rızası olmaksızın dokunma, sarılma, elle temas gibi kişinin beden dokunulmazlığını ihlal eden davranışların tamamı cinsel saldırıdır.</w:t>
      </w:r>
    </w:p>
    <w:p w:rsidR="00E07FCE" w:rsidRPr="00E07FCE" w:rsidP="00BB54A4">
      <w:pPr>
        <w:spacing w:line="360" w:lineRule="auto"/>
        <w:jc w:val="both"/>
      </w:pPr>
      <w:r w:rsidRPr="00E07FCE">
        <w:rPr>
          <w:b/>
        </w:rPr>
        <w:t xml:space="preserve">Cinsel Şiddet: </w:t>
      </w:r>
      <w:r w:rsidRPr="00E07FCE">
        <w:t>Cinsel şiddet, karşı taraf üzerinde kontrol ve güç oluşturmak maksadıyla, kişinin isteği /rızası dışında cinsel davranışlara zorlamaktır. </w:t>
      </w:r>
    </w:p>
    <w:p w:rsidR="00E07FCE" w:rsidRPr="00E07FCE" w:rsidP="00BB54A4">
      <w:pPr>
        <w:spacing w:line="360" w:lineRule="auto"/>
        <w:jc w:val="both"/>
      </w:pPr>
      <w:r w:rsidRPr="00E07FCE">
        <w:rPr>
          <w:b/>
        </w:rPr>
        <w:t xml:space="preserve">Rıza: </w:t>
      </w:r>
      <w:r w:rsidRPr="00E07FCE">
        <w:t>Kişinin ilgili tutum, davranışa veya söze etkin, iradi ve açık biçimde onay vermiş olması olarak anlaşılmalıdır. Mevki kullanılarak fiziksel ve/veya psikolojik güç kullanımı, tehdit, korku, baskı altına alma,  hile ile alınan onay rıza olarak kabul edilemez. Rızanın sürekliliği esastır, rıza her zaman geri alınabilir. Sessiz kalmak rıza göstermek değildir.</w:t>
      </w:r>
    </w:p>
    <w:p w:rsidR="00E07FCE" w:rsidRPr="00E07FCE" w:rsidP="00BB54A4">
      <w:pPr>
        <w:spacing w:line="360" w:lineRule="auto"/>
        <w:jc w:val="both"/>
      </w:pPr>
      <w:r w:rsidRPr="00E07FCE">
        <w:rPr>
          <w:b/>
        </w:rPr>
        <w:t>Toplumsal cinsiyete dayalı ayrımcılık:</w:t>
      </w:r>
      <w:r w:rsidRPr="00E07FCE">
        <w:t xml:space="preserve"> Cinsiyet ayrımcılığı, nitelik bakımından eşitliği bulunan kişilerin yalnızca cinsiyetlerine bağlı olarak farklı muamele görmeleri durumu olarak tanımlanır.</w:t>
      </w:r>
    </w:p>
    <w:p w:rsidR="00E07FCE" w:rsidRPr="00E07FCE" w:rsidP="00BB54A4">
      <w:pPr>
        <w:pStyle w:val="Heading1"/>
        <w:jc w:val="both"/>
      </w:pPr>
      <w:bookmarkStart w:id="9" w:name="_Toc118798583"/>
      <w:bookmarkStart w:id="10" w:name="_Toc123303295"/>
      <w:bookmarkStart w:id="11" w:name="_Toc175057724"/>
      <w:r w:rsidRPr="00E07FCE">
        <w:t>Genel İlkeler</w:t>
      </w:r>
      <w:bookmarkEnd w:id="9"/>
      <w:bookmarkEnd w:id="10"/>
      <w:bookmarkEnd w:id="11"/>
    </w:p>
    <w:p w:rsidR="00E07FCE" w:rsidRPr="00E07FCE" w:rsidP="00BB54A4">
      <w:pPr>
        <w:spacing w:line="360" w:lineRule="auto"/>
        <w:jc w:val="both"/>
      </w:pPr>
      <w:r w:rsidRPr="00E07FCE">
        <w:t>ULUDAĞ ENERJİ bünyesinde ve iştiraklerinde çalışan hiçbir personelin, toplumsal cinsiyete dayalı ayrımcılık, şiddet, cinsel saldırı ve tacize maruz kalmasına müsamaha gösterilmez.</w:t>
      </w:r>
    </w:p>
    <w:p w:rsidR="00E07FCE" w:rsidRPr="00E07FCE" w:rsidP="00BB54A4">
      <w:pPr>
        <w:spacing w:line="360" w:lineRule="auto"/>
        <w:jc w:val="both"/>
      </w:pPr>
      <w:r w:rsidRPr="00E07FCE">
        <w:t>ULUDAĞ ENERJİ çalışanlarına yönelik, cinsel istismar, sözlü taciz, fiziksel taciz, mobbing dahil her türlü istismar ve şiddet eylemine karşı iş kanununda konuya ilişkin yazılı tüm maddeleri personel yönetmeliği içeriğinde de destekleyip uymayı ve gerektiği takdirde tüm hukuki başvuru yollarını saklı tutmayı taahhüt eder.</w:t>
      </w:r>
    </w:p>
    <w:p w:rsidR="00E07FCE" w:rsidRPr="00E07FCE" w:rsidP="00BB54A4">
      <w:pPr>
        <w:spacing w:line="360" w:lineRule="auto"/>
        <w:jc w:val="both"/>
      </w:pPr>
      <w:r w:rsidRPr="00E07FCE">
        <w:t>Bir çalışan tarafından bu politikanın ihlali, pozisyonundan bağımsız olarak, işten çıkarılma dâhil olmak üzere önemli idari ve/veya cezai yaptırım uygulanmalarına neden olabilir. Ayrıca, ilgili eylemlerin yürürlükteki kanunlara ve mevzuata aykırı olduğuna dair şüphe bulunması durumunda derhal, Etik Kurulu yazılı olarak bilgilendirilir ve yasal süreçler gecikmeksizin işletilir.</w:t>
      </w:r>
    </w:p>
    <w:p w:rsidR="00E07FCE" w:rsidRPr="00E07FCE" w:rsidP="00BB54A4">
      <w:pPr>
        <w:spacing w:line="360" w:lineRule="auto"/>
        <w:jc w:val="both"/>
      </w:pPr>
      <w:r w:rsidRPr="00E07FCE">
        <w:t>ULUDAĞ ENERJİ, cinsel taciz ve cinsel saldırı iddiaları karşısında, bu iddiaları etkin bir şekilde araştırma, bu iddialar karşısında harekete geçmeyen ve/veya üstünü kapatmaya çalışanlar hakkında gerekli işlemleri yapma, taciz ve/veya şiddete uğrayanların ikinci kez mağduriyete uğramasını önleme ve mağdur çalışanları hukuki ve sosyal olarak destekleme hususlarında gerekli çalışmaları yapar.</w:t>
      </w:r>
    </w:p>
    <w:p w:rsidR="00E07FCE" w:rsidRPr="00E07FCE" w:rsidP="00BB54A4">
      <w:pPr>
        <w:spacing w:line="360" w:lineRule="auto"/>
        <w:jc w:val="both"/>
      </w:pPr>
      <w:r w:rsidRPr="00E07FCE">
        <w:t>Etik Kurulu koordinasyonunda; çalışanlara ve paydaşlara, toplumsal cinsiyete dayalı şiddeti önleme ve şiddetle karşı mücadele programıyla ilgili periyodik olarak eğitim ve bilinçlendirme programları gerçekleştirilir.</w:t>
      </w:r>
    </w:p>
    <w:p w:rsidR="00E07FCE" w:rsidRPr="00E07FCE" w:rsidP="00BB54A4">
      <w:pPr>
        <w:pStyle w:val="Heading1"/>
        <w:jc w:val="both"/>
      </w:pPr>
      <w:bookmarkStart w:id="12" w:name="_Toc118798584"/>
      <w:bookmarkStart w:id="13" w:name="_Toc123303296"/>
      <w:bookmarkStart w:id="14" w:name="_Toc175057725"/>
      <w:r w:rsidRPr="00E07FCE">
        <w:t>Yetki ve Sorumluluklar</w:t>
      </w:r>
      <w:bookmarkEnd w:id="12"/>
      <w:bookmarkEnd w:id="13"/>
      <w:bookmarkEnd w:id="14"/>
    </w:p>
    <w:p w:rsidR="00E07FCE" w:rsidRPr="00E07FCE" w:rsidP="00BB54A4">
      <w:pPr>
        <w:spacing w:line="360" w:lineRule="auto"/>
        <w:jc w:val="both"/>
      </w:pPr>
      <w:r w:rsidRPr="00E07FCE">
        <w:t xml:space="preserve">Politikanın uygulanması ve güncellenmesi Etik Kurulu’nun yetki, görev ve sorumluluğundadır. </w:t>
      </w:r>
    </w:p>
    <w:p w:rsidR="00E07FCE" w:rsidRPr="00E07FCE" w:rsidP="00BB54A4">
      <w:pPr>
        <w:spacing w:line="360" w:lineRule="auto"/>
        <w:jc w:val="both"/>
      </w:pPr>
      <w:r w:rsidRPr="00E07FCE">
        <w:t xml:space="preserve">Tüm Şirket çalışanları pozisyonundan bağımsız olarak, </w:t>
      </w:r>
    </w:p>
    <w:p w:rsidR="00E07FCE" w:rsidRPr="00E07FCE" w:rsidP="00BB54A4">
      <w:pPr>
        <w:numPr>
          <w:ilvl w:val="0"/>
          <w:numId w:val="28"/>
        </w:numPr>
        <w:spacing w:line="360" w:lineRule="auto"/>
        <w:jc w:val="both"/>
      </w:pPr>
      <w:r w:rsidRPr="00E07FCE">
        <w:t xml:space="preserve">Bu politikaya uyum sağlamak, </w:t>
      </w:r>
    </w:p>
    <w:p w:rsidR="00E07FCE" w:rsidRPr="00E07FCE" w:rsidP="00BB54A4">
      <w:pPr>
        <w:numPr>
          <w:ilvl w:val="0"/>
          <w:numId w:val="28"/>
        </w:numPr>
        <w:spacing w:line="360" w:lineRule="auto"/>
        <w:jc w:val="both"/>
      </w:pPr>
      <w:r w:rsidRPr="00E07FCE">
        <w:t xml:space="preserve">Bu politikanın kapsamına giren eylemlere şahitlik etmeleri durumunda ilgili Yöneticilere veya Etik Kurul’a durumu bildirmek ile sorumludur, </w:t>
      </w:r>
    </w:p>
    <w:p w:rsidR="00C71DB1" w:rsidRPr="00E07FCE" w:rsidP="00BB54A4">
      <w:pPr>
        <w:spacing w:line="360" w:lineRule="auto"/>
        <w:jc w:val="both"/>
      </w:pPr>
      <w:r w:rsidRPr="00E07FCE" w:rsidR="00E07FCE">
        <w:t>ULUDAĞ ENERJİ ve iştiraki olan tüm şirketler ile iş ortaklığı içinde bulunan tüm şirket bu politikanın eksiksiz uygulanmasından ve çalışanlarının bu politikaya uygun davranmalarını sağlamakla yükümlüdür.</w:t>
      </w:r>
    </w:p>
    <w:p w:rsidR="00E07FCE" w:rsidRPr="00E07FCE" w:rsidP="00F56E67">
      <w:pPr>
        <w:pStyle w:val="Heading1"/>
        <w:jc w:val="both"/>
      </w:pPr>
      <w:bookmarkStart w:id="15" w:name="_Toc118798585"/>
      <w:bookmarkStart w:id="16" w:name="_Toc123303297"/>
      <w:bookmarkStart w:id="17" w:name="_Toc175057726"/>
      <w:r w:rsidRPr="00E07FCE">
        <w:t>Uygulama</w:t>
      </w:r>
      <w:bookmarkEnd w:id="15"/>
      <w:bookmarkEnd w:id="16"/>
      <w:bookmarkEnd w:id="17"/>
    </w:p>
    <w:p w:rsidR="00E07FCE" w:rsidP="00BB54A4">
      <w:pPr>
        <w:spacing w:line="360" w:lineRule="auto"/>
        <w:jc w:val="both"/>
      </w:pPr>
      <w:r w:rsidRPr="00E07FCE">
        <w:t>Bağımsız hizmet sağlayıcılar tarafından yönetilmekte olan ULUDAĞ ENERJİ Enerji Etik Hattı 7 gün 24 saat hizmet vermekte olup Cinsiyete dayalı Şiddet ve Taciz kapsamındaki hususların bildirilmesinde kullanılan ana yöntemdir. ULUDAĞ ENERJİ Enerji Etik Hattı'na şu şekilde ulaşılabilir:</w:t>
      </w:r>
    </w:p>
    <w:p w:rsidR="007957BC" w:rsidRPr="00E07FCE" w:rsidP="00BB54A4">
      <w:pPr>
        <w:spacing w:line="360" w:lineRule="auto"/>
        <w:jc w:val="both"/>
      </w:pPr>
    </w:p>
    <w:p w:rsidR="00E07FCE" w:rsidRPr="00317B29" w:rsidP="00317B29">
      <w:pPr>
        <w:spacing w:after="0" w:line="240" w:lineRule="auto"/>
        <w:jc w:val="both"/>
      </w:pPr>
      <w:r w:rsidRPr="00317B29">
        <w:rPr>
          <w:b/>
          <w:bCs/>
        </w:rPr>
        <w:t>E mail:</w:t>
      </w:r>
      <w:r w:rsidRPr="00317B29">
        <w:t> </w:t>
      </w:r>
      <w:hyperlink r:id="rId7" w:tgtFrame="_blank" w:history="1">
        <w:r w:rsidRPr="00317B29">
          <w:rPr>
            <w:rStyle w:val="Hyperlink"/>
          </w:rPr>
          <w:t>uludag@etikhat.com</w:t>
        </w:r>
      </w:hyperlink>
    </w:p>
    <w:p w:rsidR="00E07FCE" w:rsidRPr="00317B29" w:rsidP="00317B29">
      <w:pPr>
        <w:spacing w:after="0" w:line="240" w:lineRule="auto"/>
        <w:jc w:val="both"/>
        <w:rPr>
          <w:b/>
          <w:bCs/>
        </w:rPr>
      </w:pPr>
      <w:r w:rsidRPr="00317B29">
        <w:rPr>
          <w:b/>
          <w:bCs/>
        </w:rPr>
        <w:t>WEB: </w:t>
      </w:r>
      <w:r w:rsidRPr="00317B29">
        <w:t xml:space="preserve"> </w:t>
      </w:r>
      <w:hyperlink r:id="rId8" w:tgtFrame="_blank" w:history="1">
        <w:r w:rsidRPr="00317B29">
          <w:rPr>
            <w:rStyle w:val="Hyperlink"/>
          </w:rPr>
          <w:t>www.remedetikhat.com.tr</w:t>
        </w:r>
      </w:hyperlink>
      <w:r w:rsidRPr="00317B29">
        <w:rPr>
          <w:b/>
          <w:bCs/>
        </w:rPr>
        <w:t> </w:t>
      </w:r>
    </w:p>
    <w:p w:rsidR="00E07FCE" w:rsidRPr="00317B29" w:rsidP="00317B29">
      <w:pPr>
        <w:spacing w:after="0" w:line="240" w:lineRule="auto"/>
        <w:jc w:val="both"/>
      </w:pPr>
      <w:r w:rsidRPr="00317B29">
        <w:rPr>
          <w:b/>
          <w:bCs/>
        </w:rPr>
        <w:t xml:space="preserve">Kullanıcı adı: </w:t>
      </w:r>
      <w:r w:rsidRPr="00317B29">
        <w:t>uludag</w:t>
      </w:r>
    </w:p>
    <w:p w:rsidR="00E07FCE" w:rsidRPr="00317B29" w:rsidP="00317B29">
      <w:pPr>
        <w:spacing w:after="0" w:line="240" w:lineRule="auto"/>
        <w:jc w:val="both"/>
      </w:pPr>
      <w:r w:rsidRPr="00317B29">
        <w:rPr>
          <w:b/>
          <w:bCs/>
        </w:rPr>
        <w:t xml:space="preserve">Şifre: </w:t>
      </w:r>
      <w:r w:rsidRPr="00317B29">
        <w:t>uludag16</w:t>
      </w:r>
    </w:p>
    <w:p w:rsidR="00E07FCE" w:rsidRPr="00E07FCE" w:rsidP="00317B29">
      <w:pPr>
        <w:spacing w:after="0" w:line="240" w:lineRule="auto"/>
        <w:jc w:val="both"/>
      </w:pPr>
      <w:r w:rsidRPr="00317B29">
        <w:rPr>
          <w:b/>
          <w:bCs/>
        </w:rPr>
        <w:t xml:space="preserve">Telefon: </w:t>
      </w:r>
      <w:r w:rsidRPr="00317B29">
        <w:t>0212 800 34 55</w:t>
      </w:r>
    </w:p>
    <w:p w:rsidR="002A58C6" w:rsidRPr="00E07FCE" w:rsidP="00E07FCE"/>
    <w:sectPr w:rsidSect="007957BC">
      <w:pgSz w:w="11906" w:h="16838" w:code="9"/>
      <w:pgMar w:top="1418" w:right="1418" w:bottom="1418" w:left="1418" w:header="1134"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POL.003</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9.09.2024</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9.09.2024</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289" w:type="dxa"/>
      <w:tblLook w:val="04A0"/>
    </w:tblPr>
    <w:tblGrid>
      <w:gridCol w:w="1924"/>
      <w:gridCol w:w="4979"/>
      <w:gridCol w:w="988"/>
      <w:gridCol w:w="1458"/>
    </w:tblGrid>
    <w:tr w:rsidTr="008E36F9">
      <w:tblPrEx>
        <w:tblW w:w="0" w:type="auto"/>
        <w:tblInd w:w="-289" w:type="dxa"/>
        <w:tblLook w:val="04A0"/>
      </w:tblPrEx>
      <w:trPr>
        <w:trHeight w:val="293"/>
      </w:trPr>
      <w:tc>
        <w:tcPr>
          <w:tcW w:w="1980" w:type="dxa"/>
          <w:vMerge w:val="restart"/>
          <w:vAlign w:val="center"/>
        </w:tcPr>
        <w:p w:rsidR="0034040F" w:rsidP="0034040F">
          <w:pPr>
            <w:pStyle w:val="Header"/>
            <w:jc w:val="center"/>
          </w:pPr>
          <w:r>
            <w:rPr>
              <w:noProof/>
              <w:lang w:eastAsia="tr-TR"/>
            </w:rPr>
            <w:drawing>
              <wp:inline distT="0" distB="0" distL="0" distR="0">
                <wp:extent cx="937260" cy="4241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ludağ enerji.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3073" cy="435842"/>
                        </a:xfrm>
                        <a:prstGeom prst="rect">
                          <a:avLst/>
                        </a:prstGeom>
                      </pic:spPr>
                    </pic:pic>
                  </a:graphicData>
                </a:graphic>
              </wp:inline>
            </w:drawing>
          </w:r>
        </w:p>
      </w:tc>
      <w:tc>
        <w:tcPr>
          <w:tcW w:w="5718" w:type="dxa"/>
          <w:vMerge w:val="restart"/>
          <w:vAlign w:val="center"/>
        </w:tcPr>
        <w:p w:rsidR="0034040F" w:rsidP="0034040F">
          <w:pPr>
            <w:pStyle w:val="Header"/>
            <w:jc w:val="center"/>
          </w:pPr>
          <w:r w:rsidRPr="00C56E1D">
            <w:rPr>
              <w:rFonts w:cstheme="minorHAnsi"/>
              <w:b/>
              <w:sz w:val="36"/>
              <w:szCs w:val="36"/>
            </w:rPr>
            <w:t>CİNSİYETE DAYALI ŞİDDETİ ÖNLEME POLİTİKASI</w:t>
          </w:r>
        </w:p>
      </w:tc>
      <w:tc>
        <w:tcPr>
          <w:tcW w:w="1017" w:type="dxa"/>
          <w:vAlign w:val="center"/>
        </w:tcPr>
        <w:p w:rsidR="0034040F" w:rsidP="0034040F">
          <w:pPr>
            <w:pStyle w:val="Header"/>
            <w:jc w:val="center"/>
          </w:pPr>
          <w:r w:rsidRPr="008F2E72">
            <w:rPr>
              <w:rFonts w:cstheme="minorHAnsi"/>
              <w:b/>
              <w:sz w:val="16"/>
              <w:szCs w:val="16"/>
            </w:rPr>
            <w:t>Dok.Kodu</w:t>
          </w:r>
        </w:p>
      </w:tc>
      <w:tc>
        <w:tcPr>
          <w:tcW w:w="1480" w:type="dxa"/>
          <w:vAlign w:val="center"/>
        </w:tcPr>
        <w:p w:rsidR="0034040F" w:rsidP="0034040F">
          <w:pPr>
            <w:pStyle w:val="Header"/>
            <w:jc w:val="both"/>
          </w:pPr>
          <w:r w:rsidRPr="008F2E72">
            <w:rPr>
              <w:rFonts w:cstheme="minorHAnsi"/>
              <w:b/>
              <w:sz w:val="16"/>
              <w:szCs w:val="16"/>
            </w:rPr>
            <w:t>POL.003</w:t>
          </w:r>
        </w:p>
      </w:tc>
    </w:tr>
    <w:tr w:rsidTr="008E36F9">
      <w:tblPrEx>
        <w:tblW w:w="0" w:type="auto"/>
        <w:tblInd w:w="-289" w:type="dxa"/>
        <w:tblLook w:val="04A0"/>
      </w:tblPrEx>
      <w:trPr>
        <w:trHeight w:val="293"/>
      </w:trPr>
      <w:tc>
        <w:tcPr>
          <w:tcW w:w="1980" w:type="dxa"/>
          <w:vMerge/>
        </w:tcPr>
        <w:p w:rsidR="0034040F" w:rsidP="0034040F">
          <w:pPr>
            <w:pStyle w:val="Header"/>
          </w:pPr>
        </w:p>
      </w:tc>
      <w:tc>
        <w:tcPr>
          <w:tcW w:w="5718" w:type="dxa"/>
          <w:vMerge/>
        </w:tcPr>
        <w:p w:rsidR="0034040F" w:rsidP="0034040F">
          <w:pPr>
            <w:pStyle w:val="Header"/>
          </w:pPr>
        </w:p>
      </w:tc>
      <w:tc>
        <w:tcPr>
          <w:tcW w:w="1017" w:type="dxa"/>
          <w:vAlign w:val="center"/>
        </w:tcPr>
        <w:p w:rsidR="0034040F" w:rsidRPr="008F2E72" w:rsidP="0034040F">
          <w:pPr>
            <w:pStyle w:val="Header"/>
            <w:spacing w:line="360" w:lineRule="auto"/>
            <w:jc w:val="center"/>
            <w:rPr>
              <w:rFonts w:cstheme="minorHAnsi"/>
              <w:b/>
              <w:sz w:val="16"/>
              <w:szCs w:val="16"/>
            </w:rPr>
          </w:pPr>
          <w:r w:rsidRPr="008F2E72">
            <w:rPr>
              <w:rFonts w:cstheme="minorHAnsi"/>
              <w:b/>
              <w:sz w:val="16"/>
              <w:szCs w:val="16"/>
            </w:rPr>
            <w:t>Yayın Tar.</w:t>
          </w:r>
        </w:p>
      </w:tc>
      <w:tc>
        <w:tcPr>
          <w:tcW w:w="1480" w:type="dxa"/>
          <w:vAlign w:val="center"/>
        </w:tcPr>
        <w:p w:rsidR="0034040F" w:rsidP="0034040F">
          <w:pPr>
            <w:pStyle w:val="Header"/>
            <w:jc w:val="both"/>
          </w:pPr>
          <w:r w:rsidRPr="008F2E72">
            <w:rPr>
              <w:rFonts w:cstheme="minorHAnsi"/>
              <w:b/>
              <w:sz w:val="16"/>
              <w:szCs w:val="16"/>
            </w:rPr>
            <w:t>9.09.2024</w:t>
          </w:r>
        </w:p>
      </w:tc>
    </w:tr>
    <w:tr w:rsidTr="008E36F9">
      <w:tblPrEx>
        <w:tblW w:w="0" w:type="auto"/>
        <w:tblInd w:w="-289" w:type="dxa"/>
        <w:tblLook w:val="04A0"/>
      </w:tblPrEx>
      <w:trPr>
        <w:trHeight w:val="293"/>
      </w:trPr>
      <w:tc>
        <w:tcPr>
          <w:tcW w:w="1980" w:type="dxa"/>
          <w:vMerge/>
        </w:tcPr>
        <w:p w:rsidR="0034040F" w:rsidP="0034040F">
          <w:pPr>
            <w:pStyle w:val="Header"/>
          </w:pPr>
        </w:p>
      </w:tc>
      <w:tc>
        <w:tcPr>
          <w:tcW w:w="5718" w:type="dxa"/>
          <w:vMerge/>
        </w:tcPr>
        <w:p w:rsidR="0034040F" w:rsidP="0034040F">
          <w:pPr>
            <w:pStyle w:val="Header"/>
          </w:pPr>
        </w:p>
      </w:tc>
      <w:tc>
        <w:tcPr>
          <w:tcW w:w="1017" w:type="dxa"/>
          <w:vAlign w:val="center"/>
        </w:tcPr>
        <w:p w:rsidR="0034040F" w:rsidP="0034040F">
          <w:pPr>
            <w:pStyle w:val="Header"/>
            <w:jc w:val="center"/>
          </w:pPr>
          <w:r w:rsidRPr="008F2E72">
            <w:rPr>
              <w:rFonts w:cstheme="minorHAnsi"/>
              <w:b/>
              <w:sz w:val="16"/>
              <w:szCs w:val="16"/>
            </w:rPr>
            <w:t>Rev.Tar.</w:t>
          </w:r>
        </w:p>
      </w:tc>
      <w:tc>
        <w:tcPr>
          <w:tcW w:w="1480" w:type="dxa"/>
          <w:vAlign w:val="center"/>
        </w:tcPr>
        <w:p w:rsidR="0034040F" w:rsidP="0034040F">
          <w:pPr>
            <w:pStyle w:val="Header"/>
            <w:jc w:val="both"/>
          </w:pPr>
          <w:r w:rsidRPr="008F2E72">
            <w:rPr>
              <w:rFonts w:cstheme="minorHAnsi"/>
              <w:b/>
              <w:sz w:val="16"/>
              <w:szCs w:val="16"/>
            </w:rPr>
            <w:t>9.09.2024</w:t>
          </w:r>
        </w:p>
      </w:tc>
    </w:tr>
    <w:tr w:rsidTr="008E36F9">
      <w:tblPrEx>
        <w:tblW w:w="0" w:type="auto"/>
        <w:tblInd w:w="-289" w:type="dxa"/>
        <w:tblLook w:val="04A0"/>
      </w:tblPrEx>
      <w:trPr>
        <w:trHeight w:val="293"/>
      </w:trPr>
      <w:tc>
        <w:tcPr>
          <w:tcW w:w="1980" w:type="dxa"/>
          <w:vMerge/>
        </w:tcPr>
        <w:p w:rsidR="0034040F" w:rsidP="0034040F">
          <w:pPr>
            <w:pStyle w:val="Header"/>
          </w:pPr>
        </w:p>
      </w:tc>
      <w:tc>
        <w:tcPr>
          <w:tcW w:w="5718" w:type="dxa"/>
          <w:vMerge/>
        </w:tcPr>
        <w:p w:rsidR="0034040F" w:rsidP="0034040F">
          <w:pPr>
            <w:pStyle w:val="Header"/>
          </w:pPr>
        </w:p>
      </w:tc>
      <w:tc>
        <w:tcPr>
          <w:tcW w:w="1017" w:type="dxa"/>
          <w:vAlign w:val="center"/>
        </w:tcPr>
        <w:p w:rsidR="0034040F" w:rsidP="0034040F">
          <w:pPr>
            <w:pStyle w:val="Header"/>
            <w:jc w:val="center"/>
          </w:pPr>
          <w:r w:rsidRPr="008F2E72">
            <w:rPr>
              <w:rFonts w:cstheme="minorHAnsi"/>
              <w:b/>
              <w:sz w:val="16"/>
              <w:szCs w:val="16"/>
            </w:rPr>
            <w:t>Rev.No.</w:t>
          </w:r>
        </w:p>
      </w:tc>
      <w:tc>
        <w:tcPr>
          <w:tcW w:w="1480" w:type="dxa"/>
          <w:vAlign w:val="center"/>
        </w:tcPr>
        <w:p w:rsidR="0034040F" w:rsidP="0034040F">
          <w:pPr>
            <w:pStyle w:val="Header"/>
            <w:jc w:val="both"/>
          </w:pPr>
          <w:r w:rsidRPr="008F2E72">
            <w:rPr>
              <w:rFonts w:cstheme="minorHAnsi"/>
              <w:b/>
              <w:sz w:val="16"/>
              <w:szCs w:val="16"/>
            </w:rPr>
            <w:t>0</w:t>
          </w:r>
        </w:p>
      </w:tc>
    </w:tr>
  </w:tbl>
  <w:p w:rsidR="00F215FA" w:rsidRPr="0034040F" w:rsidP="00340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34A0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DF4B34"/>
    <w:multiLevelType w:val="hybridMultilevel"/>
    <w:tmpl w:val="6D2E138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B5361D"/>
    <w:multiLevelType w:val="hybridMultilevel"/>
    <w:tmpl w:val="FAD46102"/>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281575E"/>
    <w:multiLevelType w:val="hybridMultilevel"/>
    <w:tmpl w:val="F0382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CE0960"/>
    <w:multiLevelType w:val="hybridMultilevel"/>
    <w:tmpl w:val="D4683BAA"/>
    <w:lvl w:ilvl="0">
      <w:start w:val="1"/>
      <w:numFmt w:val="bullet"/>
      <w:lvlText w:val=""/>
      <w:lvlJc w:val="left"/>
      <w:pPr>
        <w:ind w:left="1428" w:hanging="360"/>
      </w:pPr>
      <w:rPr>
        <w:rFonts w:ascii="Symbol" w:eastAsia="Times New Roman" w:hAnsi="Symbol" w:cstheme="minorHAnsi"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6">
    <w:nsid w:val="359D7CA0"/>
    <w:multiLevelType w:val="hybridMultilevel"/>
    <w:tmpl w:val="C22EF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8BE1F05"/>
    <w:multiLevelType w:val="hybridMultilevel"/>
    <w:tmpl w:val="674068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D3401C"/>
    <w:multiLevelType w:val="hybridMultilevel"/>
    <w:tmpl w:val="7AD47B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F387DB9"/>
    <w:multiLevelType w:val="multilevel"/>
    <w:tmpl w:val="9AD66B9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nsid w:val="3FCC25EB"/>
    <w:multiLevelType w:val="hybridMultilevel"/>
    <w:tmpl w:val="E30E4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5767E5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7D6355"/>
    <w:multiLevelType w:val="hybridMultilevel"/>
    <w:tmpl w:val="F94693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DF0100"/>
    <w:multiLevelType w:val="hybridMultilevel"/>
    <w:tmpl w:val="32F2FF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05510A6"/>
    <w:multiLevelType w:val="hybridMultilevel"/>
    <w:tmpl w:val="BF689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E245DAF"/>
    <w:multiLevelType w:val="hybridMultilevel"/>
    <w:tmpl w:val="BD5E5B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B877274"/>
    <w:multiLevelType w:val="hybridMultilevel"/>
    <w:tmpl w:val="5E72C3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DC734CE"/>
    <w:multiLevelType w:val="hybridMultilevel"/>
    <w:tmpl w:val="3656F3F6"/>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8">
    <w:nsid w:val="6F6C47B6"/>
    <w:multiLevelType w:val="hybridMultilevel"/>
    <w:tmpl w:val="C48EFF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0151E15"/>
    <w:multiLevelType w:val="hybridMultilevel"/>
    <w:tmpl w:val="7D8AA6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38C1F0A"/>
    <w:multiLevelType w:val="hybridMultilevel"/>
    <w:tmpl w:val="CC9AC1DA"/>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1">
    <w:nsid w:val="74814CCF"/>
    <w:multiLevelType w:val="hybridMultilevel"/>
    <w:tmpl w:val="E3FCC6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9E0882"/>
    <w:multiLevelType w:val="hybridMultilevel"/>
    <w:tmpl w:val="309669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5E809C6"/>
    <w:multiLevelType w:val="hybridMultilevel"/>
    <w:tmpl w:val="8F785B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DFA25AD"/>
    <w:multiLevelType w:val="hybridMultilevel"/>
    <w:tmpl w:val="942613DA"/>
    <w:lvl w:ilvl="0">
      <w:start w:val="2"/>
      <w:numFmt w:val="bullet"/>
      <w:lvlText w:val="-"/>
      <w:lvlJc w:val="left"/>
      <w:pPr>
        <w:ind w:left="1428" w:hanging="360"/>
      </w:pPr>
      <w:rPr>
        <w:rFonts w:ascii="Calibri" w:eastAsia="Times New Roman" w:hAnsi="Calibri" w:cs="Calibri"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3"/>
  </w:num>
  <w:num w:numId="2">
    <w:abstractNumId w:val="3"/>
  </w:num>
  <w:num w:numId="3">
    <w:abstractNumId w:val="0"/>
  </w:num>
  <w:num w:numId="4">
    <w:abstractNumId w:val="11"/>
  </w:num>
  <w:num w:numId="5">
    <w:abstractNumId w:val="16"/>
  </w:num>
  <w:num w:numId="6">
    <w:abstractNumId w:val="10"/>
  </w:num>
  <w:num w:numId="7">
    <w:abstractNumId w:val="23"/>
  </w:num>
  <w:num w:numId="8">
    <w:abstractNumId w:val="8"/>
  </w:num>
  <w:num w:numId="9">
    <w:abstractNumId w:val="13"/>
  </w:num>
  <w:num w:numId="10">
    <w:abstractNumId w:val="4"/>
  </w:num>
  <w:num w:numId="11">
    <w:abstractNumId w:val="19"/>
  </w:num>
  <w:num w:numId="12">
    <w:abstractNumId w:val="21"/>
  </w:num>
  <w:num w:numId="13">
    <w:abstractNumId w:val="17"/>
  </w:num>
  <w:num w:numId="14">
    <w:abstractNumId w:val="2"/>
  </w:num>
  <w:num w:numId="15">
    <w:abstractNumId w:val="20"/>
  </w:num>
  <w:num w:numId="16">
    <w:abstractNumId w:val="14"/>
  </w:num>
  <w:num w:numId="17">
    <w:abstractNumId w:val="3"/>
  </w:num>
  <w:num w:numId="18">
    <w:abstractNumId w:val="3"/>
  </w:num>
  <w:num w:numId="19">
    <w:abstractNumId w:val="1"/>
  </w:num>
  <w:num w:numId="20">
    <w:abstractNumId w:val="9"/>
  </w:num>
  <w:num w:numId="21">
    <w:abstractNumId w:val="5"/>
  </w:num>
  <w:num w:numId="22">
    <w:abstractNumId w:val="24"/>
  </w:num>
  <w:num w:numId="23">
    <w:abstractNumId w:val="6"/>
  </w:num>
  <w:num w:numId="24">
    <w:abstractNumId w:val="15"/>
  </w:num>
  <w:num w:numId="25">
    <w:abstractNumId w:val="7"/>
  </w:num>
  <w:num w:numId="26">
    <w:abstractNumId w:val="12"/>
  </w:num>
  <w:num w:numId="27">
    <w:abstractNumId w:val="18"/>
  </w:num>
  <w:num w:numId="28">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50000" w:hash="4rMK2BYy3F+8E8wOS3lANTSiKhI=&#10;" w:salt="hIqOl99kIr/+N0hyovEq7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158F1"/>
    <w:rsid w:val="00016899"/>
    <w:rsid w:val="00016E0E"/>
    <w:rsid w:val="00025290"/>
    <w:rsid w:val="00060B99"/>
    <w:rsid w:val="00081381"/>
    <w:rsid w:val="00097E88"/>
    <w:rsid w:val="000A2924"/>
    <w:rsid w:val="000B6757"/>
    <w:rsid w:val="000C3E94"/>
    <w:rsid w:val="000F2B63"/>
    <w:rsid w:val="00104179"/>
    <w:rsid w:val="0010590F"/>
    <w:rsid w:val="001108DD"/>
    <w:rsid w:val="0011645C"/>
    <w:rsid w:val="0012322F"/>
    <w:rsid w:val="00127DEF"/>
    <w:rsid w:val="00152A6E"/>
    <w:rsid w:val="001617EC"/>
    <w:rsid w:val="001638BE"/>
    <w:rsid w:val="00183E75"/>
    <w:rsid w:val="00186958"/>
    <w:rsid w:val="00193F47"/>
    <w:rsid w:val="00194652"/>
    <w:rsid w:val="001C0C6A"/>
    <w:rsid w:val="001C4BDD"/>
    <w:rsid w:val="001D2F1A"/>
    <w:rsid w:val="001D509B"/>
    <w:rsid w:val="001E2B3B"/>
    <w:rsid w:val="001E45ED"/>
    <w:rsid w:val="001F3AB3"/>
    <w:rsid w:val="00203F5E"/>
    <w:rsid w:val="00217813"/>
    <w:rsid w:val="00226D26"/>
    <w:rsid w:val="00234D2A"/>
    <w:rsid w:val="00237235"/>
    <w:rsid w:val="00241398"/>
    <w:rsid w:val="0024213E"/>
    <w:rsid w:val="00272B07"/>
    <w:rsid w:val="00277728"/>
    <w:rsid w:val="00287236"/>
    <w:rsid w:val="00292234"/>
    <w:rsid w:val="002A58C6"/>
    <w:rsid w:val="002B4AF7"/>
    <w:rsid w:val="002C57DB"/>
    <w:rsid w:val="002C7165"/>
    <w:rsid w:val="002C77EB"/>
    <w:rsid w:val="002D0D47"/>
    <w:rsid w:val="003035D0"/>
    <w:rsid w:val="0031192F"/>
    <w:rsid w:val="003144F9"/>
    <w:rsid w:val="00317B29"/>
    <w:rsid w:val="003241F1"/>
    <w:rsid w:val="0034040F"/>
    <w:rsid w:val="0035588F"/>
    <w:rsid w:val="003600D6"/>
    <w:rsid w:val="00364628"/>
    <w:rsid w:val="00382990"/>
    <w:rsid w:val="00387C98"/>
    <w:rsid w:val="003A4461"/>
    <w:rsid w:val="003A6E97"/>
    <w:rsid w:val="003B58FF"/>
    <w:rsid w:val="003D493B"/>
    <w:rsid w:val="003E077F"/>
    <w:rsid w:val="003E2D18"/>
    <w:rsid w:val="003F3A44"/>
    <w:rsid w:val="00403241"/>
    <w:rsid w:val="004109DB"/>
    <w:rsid w:val="0041341E"/>
    <w:rsid w:val="00424DC9"/>
    <w:rsid w:val="00446C83"/>
    <w:rsid w:val="00460A27"/>
    <w:rsid w:val="0046536D"/>
    <w:rsid w:val="00467E8A"/>
    <w:rsid w:val="00471EB4"/>
    <w:rsid w:val="0047217E"/>
    <w:rsid w:val="0047740D"/>
    <w:rsid w:val="00491E81"/>
    <w:rsid w:val="004A41FE"/>
    <w:rsid w:val="004C26BF"/>
    <w:rsid w:val="004D161B"/>
    <w:rsid w:val="004D5B0F"/>
    <w:rsid w:val="004E0764"/>
    <w:rsid w:val="00511AA7"/>
    <w:rsid w:val="00517972"/>
    <w:rsid w:val="00521320"/>
    <w:rsid w:val="00534D66"/>
    <w:rsid w:val="005459CB"/>
    <w:rsid w:val="00555BB1"/>
    <w:rsid w:val="00564231"/>
    <w:rsid w:val="0058062F"/>
    <w:rsid w:val="005927ED"/>
    <w:rsid w:val="00594D4B"/>
    <w:rsid w:val="005A7F79"/>
    <w:rsid w:val="005B60E5"/>
    <w:rsid w:val="005C5EA6"/>
    <w:rsid w:val="005C7463"/>
    <w:rsid w:val="005D2FFB"/>
    <w:rsid w:val="005E2BC0"/>
    <w:rsid w:val="005E37CD"/>
    <w:rsid w:val="0061016D"/>
    <w:rsid w:val="00655178"/>
    <w:rsid w:val="00655D45"/>
    <w:rsid w:val="00655E57"/>
    <w:rsid w:val="00666949"/>
    <w:rsid w:val="00671468"/>
    <w:rsid w:val="00683A66"/>
    <w:rsid w:val="006869E2"/>
    <w:rsid w:val="006870A0"/>
    <w:rsid w:val="00690673"/>
    <w:rsid w:val="00693971"/>
    <w:rsid w:val="00694FA6"/>
    <w:rsid w:val="006A3BEA"/>
    <w:rsid w:val="006A47BC"/>
    <w:rsid w:val="006C1925"/>
    <w:rsid w:val="006C2696"/>
    <w:rsid w:val="006C54C7"/>
    <w:rsid w:val="006C78C8"/>
    <w:rsid w:val="006D10A3"/>
    <w:rsid w:val="006D1C54"/>
    <w:rsid w:val="006D4F11"/>
    <w:rsid w:val="006E18DD"/>
    <w:rsid w:val="006F00D4"/>
    <w:rsid w:val="006F24E0"/>
    <w:rsid w:val="006F7C9D"/>
    <w:rsid w:val="0070040C"/>
    <w:rsid w:val="007033C9"/>
    <w:rsid w:val="00714B52"/>
    <w:rsid w:val="00716E5A"/>
    <w:rsid w:val="007454F8"/>
    <w:rsid w:val="007460A3"/>
    <w:rsid w:val="00747BF1"/>
    <w:rsid w:val="00751EBC"/>
    <w:rsid w:val="00762F7A"/>
    <w:rsid w:val="007957BC"/>
    <w:rsid w:val="007A4D9D"/>
    <w:rsid w:val="007A56BD"/>
    <w:rsid w:val="007B116A"/>
    <w:rsid w:val="007B11A7"/>
    <w:rsid w:val="007B5C0B"/>
    <w:rsid w:val="007C254C"/>
    <w:rsid w:val="007D31AE"/>
    <w:rsid w:val="007D3BA7"/>
    <w:rsid w:val="007D7909"/>
    <w:rsid w:val="007F36E3"/>
    <w:rsid w:val="00807003"/>
    <w:rsid w:val="008269F9"/>
    <w:rsid w:val="00834613"/>
    <w:rsid w:val="00870F11"/>
    <w:rsid w:val="00871A47"/>
    <w:rsid w:val="00876DED"/>
    <w:rsid w:val="00880F58"/>
    <w:rsid w:val="00884944"/>
    <w:rsid w:val="008A0800"/>
    <w:rsid w:val="008A20B5"/>
    <w:rsid w:val="008B791C"/>
    <w:rsid w:val="008C6479"/>
    <w:rsid w:val="008C6D9F"/>
    <w:rsid w:val="008D7E33"/>
    <w:rsid w:val="008E6DEA"/>
    <w:rsid w:val="008F0A99"/>
    <w:rsid w:val="008F2E72"/>
    <w:rsid w:val="008F6263"/>
    <w:rsid w:val="00901000"/>
    <w:rsid w:val="00906E8A"/>
    <w:rsid w:val="00927719"/>
    <w:rsid w:val="00946353"/>
    <w:rsid w:val="00946F18"/>
    <w:rsid w:val="00970BEB"/>
    <w:rsid w:val="00972011"/>
    <w:rsid w:val="00982F3C"/>
    <w:rsid w:val="00984F58"/>
    <w:rsid w:val="0099053D"/>
    <w:rsid w:val="009922D6"/>
    <w:rsid w:val="009937CC"/>
    <w:rsid w:val="00993FBA"/>
    <w:rsid w:val="00996783"/>
    <w:rsid w:val="009A029B"/>
    <w:rsid w:val="009C5E9C"/>
    <w:rsid w:val="009D3B57"/>
    <w:rsid w:val="009E6317"/>
    <w:rsid w:val="009F4CBC"/>
    <w:rsid w:val="00A064F4"/>
    <w:rsid w:val="00A0667C"/>
    <w:rsid w:val="00A201A7"/>
    <w:rsid w:val="00A301D2"/>
    <w:rsid w:val="00A41F1E"/>
    <w:rsid w:val="00A62639"/>
    <w:rsid w:val="00A64A77"/>
    <w:rsid w:val="00A91195"/>
    <w:rsid w:val="00A92ED0"/>
    <w:rsid w:val="00A93B60"/>
    <w:rsid w:val="00A94321"/>
    <w:rsid w:val="00AA1324"/>
    <w:rsid w:val="00AA22C3"/>
    <w:rsid w:val="00AB1C63"/>
    <w:rsid w:val="00AB541B"/>
    <w:rsid w:val="00AC571D"/>
    <w:rsid w:val="00AD2885"/>
    <w:rsid w:val="00AE033C"/>
    <w:rsid w:val="00AF3052"/>
    <w:rsid w:val="00B05B31"/>
    <w:rsid w:val="00B10036"/>
    <w:rsid w:val="00B37C5E"/>
    <w:rsid w:val="00B4454E"/>
    <w:rsid w:val="00B46827"/>
    <w:rsid w:val="00B502C9"/>
    <w:rsid w:val="00B64666"/>
    <w:rsid w:val="00B67094"/>
    <w:rsid w:val="00B676EA"/>
    <w:rsid w:val="00B740DD"/>
    <w:rsid w:val="00B741E8"/>
    <w:rsid w:val="00B775DF"/>
    <w:rsid w:val="00B8124A"/>
    <w:rsid w:val="00B86443"/>
    <w:rsid w:val="00BB0EA9"/>
    <w:rsid w:val="00BB54A4"/>
    <w:rsid w:val="00BC2489"/>
    <w:rsid w:val="00BC7C2D"/>
    <w:rsid w:val="00BD78D5"/>
    <w:rsid w:val="00BF51B7"/>
    <w:rsid w:val="00C04230"/>
    <w:rsid w:val="00C13F69"/>
    <w:rsid w:val="00C21F3B"/>
    <w:rsid w:val="00C22EF5"/>
    <w:rsid w:val="00C24B6F"/>
    <w:rsid w:val="00C26675"/>
    <w:rsid w:val="00C532DC"/>
    <w:rsid w:val="00C56E1D"/>
    <w:rsid w:val="00C624D1"/>
    <w:rsid w:val="00C6625C"/>
    <w:rsid w:val="00C66F23"/>
    <w:rsid w:val="00C70080"/>
    <w:rsid w:val="00C71DB1"/>
    <w:rsid w:val="00C80EB0"/>
    <w:rsid w:val="00C8496E"/>
    <w:rsid w:val="00C85164"/>
    <w:rsid w:val="00C9048B"/>
    <w:rsid w:val="00C9411A"/>
    <w:rsid w:val="00CA3A42"/>
    <w:rsid w:val="00CA3E1F"/>
    <w:rsid w:val="00CA483B"/>
    <w:rsid w:val="00CC0AFE"/>
    <w:rsid w:val="00CC56AE"/>
    <w:rsid w:val="00CE19C5"/>
    <w:rsid w:val="00CE5B98"/>
    <w:rsid w:val="00CF7061"/>
    <w:rsid w:val="00D240FD"/>
    <w:rsid w:val="00D5741D"/>
    <w:rsid w:val="00D64E6F"/>
    <w:rsid w:val="00D66DDB"/>
    <w:rsid w:val="00D80EAD"/>
    <w:rsid w:val="00D853BB"/>
    <w:rsid w:val="00DA54B9"/>
    <w:rsid w:val="00DB516B"/>
    <w:rsid w:val="00DB7B84"/>
    <w:rsid w:val="00DC1724"/>
    <w:rsid w:val="00DD2F57"/>
    <w:rsid w:val="00DE15B2"/>
    <w:rsid w:val="00DE3060"/>
    <w:rsid w:val="00DF621F"/>
    <w:rsid w:val="00E07FCE"/>
    <w:rsid w:val="00E22D3A"/>
    <w:rsid w:val="00E368AA"/>
    <w:rsid w:val="00E426C6"/>
    <w:rsid w:val="00E442EF"/>
    <w:rsid w:val="00E609B8"/>
    <w:rsid w:val="00E66780"/>
    <w:rsid w:val="00EA581C"/>
    <w:rsid w:val="00EB0A63"/>
    <w:rsid w:val="00EC2C42"/>
    <w:rsid w:val="00ED4013"/>
    <w:rsid w:val="00ED7FD9"/>
    <w:rsid w:val="00EF4FF9"/>
    <w:rsid w:val="00F07E64"/>
    <w:rsid w:val="00F10F63"/>
    <w:rsid w:val="00F215FA"/>
    <w:rsid w:val="00F36550"/>
    <w:rsid w:val="00F56E67"/>
    <w:rsid w:val="00F70D47"/>
    <w:rsid w:val="00F741FA"/>
    <w:rsid w:val="00F773A5"/>
    <w:rsid w:val="00F77D66"/>
    <w:rsid w:val="00F80AFD"/>
    <w:rsid w:val="00F841C6"/>
    <w:rsid w:val="00F911E7"/>
    <w:rsid w:val="00F93D9F"/>
    <w:rsid w:val="00FB2F61"/>
    <w:rsid w:val="00FB5174"/>
    <w:rsid w:val="00FC33F8"/>
    <w:rsid w:val="00FD3F08"/>
    <w:rsid w:val="00FE18AB"/>
    <w:rsid w:val="00FE368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57454C58"/>
  <w15:docId w15:val="{B558D5FD-F085-419B-BFB2-C39A04B5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17"/>
  </w:style>
  <w:style w:type="paragraph" w:styleId="Heading1">
    <w:name w:val="heading 1"/>
    <w:basedOn w:val="Normal"/>
    <w:next w:val="Normal"/>
    <w:link w:val="Balk1Char"/>
    <w:uiPriority w:val="9"/>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E442EF"/>
    <w:pPr>
      <w:keepNext/>
      <w:keepLines/>
      <w:numPr>
        <w:ilvl w:val="1"/>
        <w:numId w:val="2"/>
      </w:numPr>
      <w:spacing w:before="360" w:after="0" w:line="480"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Balk3Char"/>
    <w:uiPriority w:val="9"/>
    <w:unhideWhenUsed/>
    <w:qFormat/>
    <w:rsid w:val="0012322F"/>
    <w:pPr>
      <w:keepNext/>
      <w:keepLines/>
      <w:numPr>
        <w:ilvl w:val="2"/>
        <w:numId w:val="2"/>
      </w:numPr>
      <w:spacing w:before="200" w:after="0" w:line="480" w:lineRule="auto"/>
      <w:outlineLvl w:val="2"/>
    </w:pPr>
    <w:rPr>
      <w:rFonts w:asciiTheme="majorHAnsi" w:eastAsiaTheme="majorEastAsia" w:hAnsiTheme="majorHAnsi" w:cstheme="majorBidi"/>
      <w:b/>
      <w:bCs/>
      <w:smallCap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semiHidden/>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semiHidden/>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semiHidden/>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semiHidden/>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E442EF"/>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DefaultParagraphFont"/>
    <w:link w:val="Heading3"/>
    <w:uiPriority w:val="9"/>
    <w:rsid w:val="0012322F"/>
    <w:rPr>
      <w:rFonts w:asciiTheme="majorHAnsi" w:eastAsiaTheme="majorEastAsia" w:hAnsiTheme="majorHAnsi" w:cstheme="majorBidi"/>
      <w:b/>
      <w:bCs/>
      <w:smallCaps/>
      <w:color w:val="000000" w:themeColor="text1"/>
    </w:rPr>
  </w:style>
  <w:style w:type="paragraph" w:styleId="ListParagraph">
    <w:name w:val="List Paragraph"/>
    <w:basedOn w:val="Normal"/>
    <w:link w:val="ListeParagrafChar"/>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semiHidden/>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semiHidden/>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semiHidden/>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semiHidden/>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uiPriority w:val="10"/>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uiPriority w:val="10"/>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iPriority w:val="99"/>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0A99"/>
    <w:pPr>
      <w:spacing w:after="100"/>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sid w:val="00655D45"/>
    <w:rPr>
      <w:sz w:val="16"/>
      <w:szCs w:val="16"/>
    </w:rPr>
  </w:style>
  <w:style w:type="paragraph" w:styleId="CommentText">
    <w:name w:val="annotation text"/>
    <w:basedOn w:val="Normal"/>
    <w:link w:val="AklamaMetniChar"/>
    <w:uiPriority w:val="99"/>
    <w:semiHidden/>
    <w:unhideWhenUsed/>
    <w:rsid w:val="00655D45"/>
    <w:pPr>
      <w:spacing w:line="240" w:lineRule="auto"/>
    </w:pPr>
    <w:rPr>
      <w:sz w:val="20"/>
      <w:szCs w:val="20"/>
    </w:rPr>
  </w:style>
  <w:style w:type="character" w:customStyle="1" w:styleId="AklamaMetniChar">
    <w:name w:val="Açıklama Metni Char"/>
    <w:basedOn w:val="DefaultParagraphFont"/>
    <w:link w:val="CommentText"/>
    <w:uiPriority w:val="99"/>
    <w:semiHidden/>
    <w:rsid w:val="00655D45"/>
    <w:rPr>
      <w:sz w:val="20"/>
      <w:szCs w:val="20"/>
    </w:rPr>
  </w:style>
  <w:style w:type="paragraph" w:styleId="CommentSubject">
    <w:name w:val="annotation subject"/>
    <w:basedOn w:val="CommentText"/>
    <w:next w:val="CommentText"/>
    <w:link w:val="AklamaKonusuChar"/>
    <w:uiPriority w:val="99"/>
    <w:semiHidden/>
    <w:unhideWhenUsed/>
    <w:rsid w:val="00655D45"/>
    <w:rPr>
      <w:b/>
      <w:bCs/>
    </w:rPr>
  </w:style>
  <w:style w:type="character" w:customStyle="1" w:styleId="AklamaKonusuChar">
    <w:name w:val="Açıklama Konusu Char"/>
    <w:basedOn w:val="AklamaMetniChar"/>
    <w:link w:val="CommentSubject"/>
    <w:uiPriority w:val="99"/>
    <w:semiHidden/>
    <w:rsid w:val="00655D45"/>
    <w:rPr>
      <w:b/>
      <w:bCs/>
      <w:sz w:val="20"/>
      <w:szCs w:val="20"/>
    </w:rPr>
  </w:style>
  <w:style w:type="character" w:customStyle="1" w:styleId="ListeParagrafChar">
    <w:name w:val="Liste Paragraf Char"/>
    <w:basedOn w:val="DefaultParagraphFont"/>
    <w:link w:val="ListParagraph"/>
    <w:uiPriority w:val="34"/>
    <w:rsid w:val="007B116A"/>
  </w:style>
  <w:style w:type="paragraph" w:styleId="NormalWeb">
    <w:name w:val="Normal (Web)"/>
    <w:basedOn w:val="Normal"/>
    <w:uiPriority w:val="99"/>
    <w:unhideWhenUsed/>
    <w:rsid w:val="009C5E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mailto:uludag@etikhat.com" TargetMode="External" /><Relationship Id="rId8" Type="http://schemas.openxmlformats.org/officeDocument/2006/relationships/hyperlink" Target="http://www.remedetikhat.com.tr/" TargetMode="Externa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66635-EA78-40BE-A176-14EB84E1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848</Words>
  <Characters>4835</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025689 Merve Ozgel</cp:lastModifiedBy>
  <cp:revision>18</cp:revision>
  <dcterms:created xsi:type="dcterms:W3CDTF">2023-08-16T06:23:00Z</dcterms:created>
  <dcterms:modified xsi:type="dcterms:W3CDTF">2024-09-04T07:37:00Z</dcterms:modified>
</cp:coreProperties>
</file>