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46536D" w:rsidRPr="007B116A" w:rsidP="00C13F69">
      <w:pPr>
        <w:spacing w:after="0" w:line="360" w:lineRule="auto"/>
        <w:jc w:val="both"/>
        <w:rPr>
          <w:rFonts w:eastAsiaTheme="majorEastAsia" w:cstheme="minorHAnsi"/>
          <w:spacing w:val="4"/>
          <w:sz w:val="28"/>
          <w:szCs w:val="28"/>
        </w:rPr>
      </w:pPr>
    </w:p>
    <w:sdt>
      <w:sdtPr>
        <w:rPr>
          <w:rFonts w:asciiTheme="minorHAnsi" w:eastAsiaTheme="minorEastAsia" w:hAnsiTheme="minorHAnsi" w:cstheme="minorHAnsi"/>
          <w:b w:val="0"/>
          <w:bCs w:val="0"/>
          <w:caps/>
          <w:smallCaps w:val="0"/>
          <w:color w:val="auto"/>
          <w:sz w:val="22"/>
          <w:szCs w:val="22"/>
        </w:rPr>
        <w:id w:val="1700581795"/>
        <w:docPartObj>
          <w:docPartGallery w:val="Table of Contents"/>
          <w:docPartUnique/>
        </w:docPartObj>
      </w:sdtPr>
      <w:sdtEndPr>
        <w:rPr>
          <w:caps w:val="0"/>
          <w:noProof/>
        </w:rPr>
      </w:sdtEndPr>
      <w:sdtContent>
        <w:p w:rsidR="001D509B" w:rsidRPr="00F07E64" w:rsidP="00A62639">
          <w:pPr>
            <w:pStyle w:val="TOCHeading"/>
            <w:numPr>
              <w:ilvl w:val="0"/>
              <w:numId w:val="0"/>
            </w:numPr>
            <w:spacing w:before="0" w:after="0" w:line="360" w:lineRule="auto"/>
            <w:ind w:left="432" w:hanging="432"/>
            <w:jc w:val="both"/>
            <w:rPr>
              <w:rStyle w:val="Balk2Char"/>
              <w:rFonts w:cstheme="majorHAnsi"/>
              <w:b/>
            </w:rPr>
          </w:pPr>
          <w:r w:rsidRPr="00F07E64">
            <w:rPr>
              <w:rStyle w:val="Balk2Char"/>
              <w:rFonts w:cstheme="majorHAnsi"/>
              <w:b/>
            </w:rPr>
            <w:t>İÇİNDEK</w:t>
          </w:r>
          <w:bookmarkStart w:id="0" w:name="_GoBack"/>
          <w:bookmarkEnd w:id="0"/>
          <w:r w:rsidRPr="00F07E64">
            <w:rPr>
              <w:rStyle w:val="Balk2Char"/>
              <w:rFonts w:cstheme="majorHAnsi"/>
              <w:b/>
            </w:rPr>
            <w:t>İLER</w:t>
          </w:r>
        </w:p>
        <w:p w:rsidR="00F07E64" w:rsidRPr="00F07E64" w:rsidP="00C13F69">
          <w:pPr>
            <w:spacing w:after="0" w:line="360" w:lineRule="auto"/>
            <w:rPr>
              <w:rFonts w:asciiTheme="majorHAnsi" w:hAnsiTheme="majorHAnsi" w:cstheme="majorHAnsi"/>
              <w:b/>
            </w:rPr>
          </w:pPr>
        </w:p>
        <w:p w:rsidR="00D92520">
          <w:pPr>
            <w:pStyle w:val="TOC1"/>
            <w:tabs>
              <w:tab w:val="left" w:pos="440"/>
              <w:tab w:val="right" w:leader="dot" w:pos="9060"/>
            </w:tabs>
            <w:rPr>
              <w:noProof/>
              <w:lang w:eastAsia="tr-TR"/>
            </w:rPr>
          </w:pPr>
          <w:r w:rsidRPr="00F07E64">
            <w:rPr>
              <w:rFonts w:asciiTheme="majorHAnsi" w:hAnsiTheme="majorHAnsi" w:cstheme="majorHAnsi"/>
              <w:b/>
            </w:rPr>
            <w:fldChar w:fldCharType="begin"/>
          </w:r>
          <w:r w:rsidRPr="00F07E64">
            <w:rPr>
              <w:rFonts w:asciiTheme="majorHAnsi" w:hAnsiTheme="majorHAnsi" w:cstheme="majorHAnsi"/>
              <w:b/>
            </w:rPr>
            <w:instrText xml:space="preserve"> TOC \o "1-3" \h \z \u </w:instrText>
          </w:r>
          <w:r w:rsidRPr="00F07E64">
            <w:rPr>
              <w:rFonts w:asciiTheme="majorHAnsi" w:hAnsiTheme="majorHAnsi" w:cstheme="majorHAnsi"/>
              <w:b/>
            </w:rPr>
            <w:fldChar w:fldCharType="separate"/>
          </w:r>
          <w:hyperlink w:anchor="_Toc176782613" w:history="1">
            <w:r w:rsidRPr="004E149A">
              <w:rPr>
                <w:rStyle w:val="Hyperlink"/>
                <w:noProof/>
              </w:rPr>
              <w:t>1</w:t>
            </w:r>
            <w:r>
              <w:rPr>
                <w:noProof/>
                <w:lang w:eastAsia="tr-TR"/>
              </w:rPr>
              <w:tab/>
            </w:r>
            <w:r w:rsidRPr="004E149A">
              <w:rPr>
                <w:rStyle w:val="Hyperlink"/>
                <w:noProof/>
              </w:rPr>
              <w:t>AMAÇ</w:t>
            </w:r>
            <w:r>
              <w:rPr>
                <w:noProof/>
                <w:webHidden/>
              </w:rPr>
              <w:tab/>
            </w:r>
            <w:r>
              <w:rPr>
                <w:noProof/>
                <w:webHidden/>
              </w:rPr>
              <w:fldChar w:fldCharType="begin"/>
            </w:r>
            <w:r>
              <w:rPr>
                <w:noProof/>
                <w:webHidden/>
              </w:rPr>
              <w:instrText xml:space="preserve"> PAGEREF _Toc176782613 \h </w:instrText>
            </w:r>
            <w:r>
              <w:rPr>
                <w:noProof/>
                <w:webHidden/>
              </w:rPr>
              <w:fldChar w:fldCharType="separate"/>
            </w:r>
            <w:r>
              <w:rPr>
                <w:noProof/>
                <w:webHidden/>
              </w:rPr>
              <w:t>1</w:t>
            </w:r>
            <w:r>
              <w:rPr>
                <w:noProof/>
                <w:webHidden/>
              </w:rPr>
              <w:fldChar w:fldCharType="end"/>
            </w:r>
          </w:hyperlink>
        </w:p>
        <w:p w:rsidR="00D92520">
          <w:pPr>
            <w:pStyle w:val="TOC1"/>
            <w:tabs>
              <w:tab w:val="left" w:pos="440"/>
              <w:tab w:val="right" w:leader="dot" w:pos="9060"/>
            </w:tabs>
            <w:rPr>
              <w:noProof/>
              <w:lang w:eastAsia="tr-TR"/>
            </w:rPr>
          </w:pPr>
          <w:hyperlink w:anchor="_Toc176782614" w:history="1">
            <w:r w:rsidRPr="004E149A">
              <w:rPr>
                <w:rStyle w:val="Hyperlink"/>
                <w:noProof/>
              </w:rPr>
              <w:t>2</w:t>
            </w:r>
            <w:r>
              <w:rPr>
                <w:noProof/>
                <w:lang w:eastAsia="tr-TR"/>
              </w:rPr>
              <w:tab/>
            </w:r>
            <w:r w:rsidRPr="004E149A">
              <w:rPr>
                <w:rStyle w:val="Hyperlink"/>
                <w:noProof/>
              </w:rPr>
              <w:t>KAPSAM</w:t>
            </w:r>
            <w:r>
              <w:rPr>
                <w:noProof/>
                <w:webHidden/>
              </w:rPr>
              <w:tab/>
            </w:r>
            <w:r>
              <w:rPr>
                <w:noProof/>
                <w:webHidden/>
              </w:rPr>
              <w:fldChar w:fldCharType="begin"/>
            </w:r>
            <w:r>
              <w:rPr>
                <w:noProof/>
                <w:webHidden/>
              </w:rPr>
              <w:instrText xml:space="preserve"> PAGEREF _Toc176782614 \h </w:instrText>
            </w:r>
            <w:r>
              <w:rPr>
                <w:noProof/>
                <w:webHidden/>
              </w:rPr>
              <w:fldChar w:fldCharType="separate"/>
            </w:r>
            <w:r>
              <w:rPr>
                <w:noProof/>
                <w:webHidden/>
              </w:rPr>
              <w:t>1</w:t>
            </w:r>
            <w:r>
              <w:rPr>
                <w:noProof/>
                <w:webHidden/>
              </w:rPr>
              <w:fldChar w:fldCharType="end"/>
            </w:r>
          </w:hyperlink>
        </w:p>
        <w:p w:rsidR="00D92520">
          <w:pPr>
            <w:pStyle w:val="TOC1"/>
            <w:tabs>
              <w:tab w:val="left" w:pos="440"/>
              <w:tab w:val="right" w:leader="dot" w:pos="9060"/>
            </w:tabs>
            <w:rPr>
              <w:noProof/>
              <w:lang w:eastAsia="tr-TR"/>
            </w:rPr>
          </w:pPr>
          <w:hyperlink w:anchor="_Toc176782615" w:history="1">
            <w:r w:rsidRPr="004E149A">
              <w:rPr>
                <w:rStyle w:val="Hyperlink"/>
                <w:noProof/>
              </w:rPr>
              <w:t>3</w:t>
            </w:r>
            <w:r>
              <w:rPr>
                <w:noProof/>
                <w:lang w:eastAsia="tr-TR"/>
              </w:rPr>
              <w:tab/>
            </w:r>
            <w:r w:rsidRPr="004E149A">
              <w:rPr>
                <w:rStyle w:val="Hyperlink"/>
                <w:noProof/>
              </w:rPr>
              <w:t>TANIMLAR</w:t>
            </w:r>
            <w:r>
              <w:rPr>
                <w:noProof/>
                <w:webHidden/>
              </w:rPr>
              <w:tab/>
            </w:r>
            <w:r>
              <w:rPr>
                <w:noProof/>
                <w:webHidden/>
              </w:rPr>
              <w:fldChar w:fldCharType="begin"/>
            </w:r>
            <w:r>
              <w:rPr>
                <w:noProof/>
                <w:webHidden/>
              </w:rPr>
              <w:instrText xml:space="preserve"> PAGEREF _Toc176782615 \h </w:instrText>
            </w:r>
            <w:r>
              <w:rPr>
                <w:noProof/>
                <w:webHidden/>
              </w:rPr>
              <w:fldChar w:fldCharType="separate"/>
            </w:r>
            <w:r>
              <w:rPr>
                <w:noProof/>
                <w:webHidden/>
              </w:rPr>
              <w:t>1</w:t>
            </w:r>
            <w:r>
              <w:rPr>
                <w:noProof/>
                <w:webHidden/>
              </w:rPr>
              <w:fldChar w:fldCharType="end"/>
            </w:r>
          </w:hyperlink>
        </w:p>
        <w:p w:rsidR="00D92520">
          <w:pPr>
            <w:pStyle w:val="TOC1"/>
            <w:tabs>
              <w:tab w:val="left" w:pos="440"/>
              <w:tab w:val="right" w:leader="dot" w:pos="9060"/>
            </w:tabs>
            <w:rPr>
              <w:noProof/>
              <w:lang w:eastAsia="tr-TR"/>
            </w:rPr>
          </w:pPr>
          <w:hyperlink w:anchor="_Toc176782616" w:history="1">
            <w:r w:rsidRPr="004E149A">
              <w:rPr>
                <w:rStyle w:val="Hyperlink"/>
                <w:noProof/>
              </w:rPr>
              <w:t>4</w:t>
            </w:r>
            <w:r>
              <w:rPr>
                <w:noProof/>
                <w:lang w:eastAsia="tr-TR"/>
              </w:rPr>
              <w:tab/>
            </w:r>
            <w:r w:rsidRPr="004E149A">
              <w:rPr>
                <w:rStyle w:val="Hyperlink"/>
                <w:noProof/>
              </w:rPr>
              <w:t>MÜŞTERİNİN TANINMASI VE RİSK YÖNETİMİ</w:t>
            </w:r>
            <w:r>
              <w:rPr>
                <w:noProof/>
                <w:webHidden/>
              </w:rPr>
              <w:tab/>
            </w:r>
            <w:r>
              <w:rPr>
                <w:noProof/>
                <w:webHidden/>
              </w:rPr>
              <w:fldChar w:fldCharType="begin"/>
            </w:r>
            <w:r>
              <w:rPr>
                <w:noProof/>
                <w:webHidden/>
              </w:rPr>
              <w:instrText xml:space="preserve"> PAGEREF _Toc176782616 \h </w:instrText>
            </w:r>
            <w:r>
              <w:rPr>
                <w:noProof/>
                <w:webHidden/>
              </w:rPr>
              <w:fldChar w:fldCharType="separate"/>
            </w:r>
            <w:r>
              <w:rPr>
                <w:noProof/>
                <w:webHidden/>
              </w:rPr>
              <w:t>3</w:t>
            </w:r>
            <w:r>
              <w:rPr>
                <w:noProof/>
                <w:webHidden/>
              </w:rPr>
              <w:fldChar w:fldCharType="end"/>
            </w:r>
          </w:hyperlink>
        </w:p>
        <w:p w:rsidR="00D92520">
          <w:pPr>
            <w:pStyle w:val="TOC1"/>
            <w:tabs>
              <w:tab w:val="left" w:pos="440"/>
              <w:tab w:val="right" w:leader="dot" w:pos="9060"/>
            </w:tabs>
            <w:rPr>
              <w:noProof/>
              <w:lang w:eastAsia="tr-TR"/>
            </w:rPr>
          </w:pPr>
          <w:hyperlink w:anchor="_Toc176782617" w:history="1">
            <w:r w:rsidRPr="004E149A">
              <w:rPr>
                <w:rStyle w:val="Hyperlink"/>
                <w:noProof/>
              </w:rPr>
              <w:t>5</w:t>
            </w:r>
            <w:r>
              <w:rPr>
                <w:noProof/>
                <w:lang w:eastAsia="tr-TR"/>
              </w:rPr>
              <w:tab/>
            </w:r>
            <w:r w:rsidRPr="004E149A">
              <w:rPr>
                <w:rStyle w:val="Hyperlink"/>
                <w:noProof/>
              </w:rPr>
              <w:t>ŞÜPHELİ İŞLEMLER</w:t>
            </w:r>
            <w:r>
              <w:rPr>
                <w:noProof/>
                <w:webHidden/>
              </w:rPr>
              <w:tab/>
            </w:r>
            <w:r>
              <w:rPr>
                <w:noProof/>
                <w:webHidden/>
              </w:rPr>
              <w:fldChar w:fldCharType="begin"/>
            </w:r>
            <w:r>
              <w:rPr>
                <w:noProof/>
                <w:webHidden/>
              </w:rPr>
              <w:instrText xml:space="preserve"> PAGEREF _Toc176782617 \h </w:instrText>
            </w:r>
            <w:r>
              <w:rPr>
                <w:noProof/>
                <w:webHidden/>
              </w:rPr>
              <w:fldChar w:fldCharType="separate"/>
            </w:r>
            <w:r>
              <w:rPr>
                <w:noProof/>
                <w:webHidden/>
              </w:rPr>
              <w:t>3</w:t>
            </w:r>
            <w:r>
              <w:rPr>
                <w:noProof/>
                <w:webHidden/>
              </w:rPr>
              <w:fldChar w:fldCharType="end"/>
            </w:r>
          </w:hyperlink>
        </w:p>
        <w:p w:rsidR="00D92520">
          <w:pPr>
            <w:pStyle w:val="TOC1"/>
            <w:tabs>
              <w:tab w:val="left" w:pos="440"/>
              <w:tab w:val="right" w:leader="dot" w:pos="9060"/>
            </w:tabs>
            <w:rPr>
              <w:noProof/>
              <w:lang w:eastAsia="tr-TR"/>
            </w:rPr>
          </w:pPr>
          <w:hyperlink w:anchor="_Toc176782618" w:history="1">
            <w:r w:rsidRPr="004E149A">
              <w:rPr>
                <w:rStyle w:val="Hyperlink"/>
                <w:noProof/>
              </w:rPr>
              <w:t>6</w:t>
            </w:r>
            <w:r>
              <w:rPr>
                <w:noProof/>
                <w:lang w:eastAsia="tr-TR"/>
              </w:rPr>
              <w:tab/>
            </w:r>
            <w:r w:rsidRPr="004E149A">
              <w:rPr>
                <w:rStyle w:val="Hyperlink"/>
                <w:noProof/>
              </w:rPr>
              <w:t>SORUMLULUK</w:t>
            </w:r>
            <w:r>
              <w:rPr>
                <w:noProof/>
                <w:webHidden/>
              </w:rPr>
              <w:tab/>
            </w:r>
            <w:r>
              <w:rPr>
                <w:noProof/>
                <w:webHidden/>
              </w:rPr>
              <w:fldChar w:fldCharType="begin"/>
            </w:r>
            <w:r>
              <w:rPr>
                <w:noProof/>
                <w:webHidden/>
              </w:rPr>
              <w:instrText xml:space="preserve"> PAGEREF _Toc176782618 \h </w:instrText>
            </w:r>
            <w:r>
              <w:rPr>
                <w:noProof/>
                <w:webHidden/>
              </w:rPr>
              <w:fldChar w:fldCharType="separate"/>
            </w:r>
            <w:r>
              <w:rPr>
                <w:noProof/>
                <w:webHidden/>
              </w:rPr>
              <w:t>4</w:t>
            </w:r>
            <w:r>
              <w:rPr>
                <w:noProof/>
                <w:webHidden/>
              </w:rPr>
              <w:fldChar w:fldCharType="end"/>
            </w:r>
          </w:hyperlink>
        </w:p>
        <w:p w:rsidR="00D92520">
          <w:pPr>
            <w:pStyle w:val="TOC1"/>
            <w:tabs>
              <w:tab w:val="left" w:pos="440"/>
              <w:tab w:val="right" w:leader="dot" w:pos="9060"/>
            </w:tabs>
            <w:rPr>
              <w:noProof/>
              <w:lang w:eastAsia="tr-TR"/>
            </w:rPr>
          </w:pPr>
          <w:hyperlink w:anchor="_Toc176782619" w:history="1">
            <w:r w:rsidRPr="004E149A">
              <w:rPr>
                <w:rStyle w:val="Hyperlink"/>
                <w:noProof/>
              </w:rPr>
              <w:t>7</w:t>
            </w:r>
            <w:r>
              <w:rPr>
                <w:noProof/>
                <w:lang w:eastAsia="tr-TR"/>
              </w:rPr>
              <w:tab/>
            </w:r>
            <w:r w:rsidRPr="004E149A">
              <w:rPr>
                <w:rStyle w:val="Hyperlink"/>
                <w:noProof/>
              </w:rPr>
              <w:t>POLİTİKA’NIN İHLALİ</w:t>
            </w:r>
            <w:r>
              <w:rPr>
                <w:noProof/>
                <w:webHidden/>
              </w:rPr>
              <w:tab/>
            </w:r>
            <w:r>
              <w:rPr>
                <w:noProof/>
                <w:webHidden/>
              </w:rPr>
              <w:fldChar w:fldCharType="begin"/>
            </w:r>
            <w:r>
              <w:rPr>
                <w:noProof/>
                <w:webHidden/>
              </w:rPr>
              <w:instrText xml:space="preserve"> PAGEREF _Toc176782619 \h </w:instrText>
            </w:r>
            <w:r>
              <w:rPr>
                <w:noProof/>
                <w:webHidden/>
              </w:rPr>
              <w:fldChar w:fldCharType="separate"/>
            </w:r>
            <w:r>
              <w:rPr>
                <w:noProof/>
                <w:webHidden/>
              </w:rPr>
              <w:t>4</w:t>
            </w:r>
            <w:r>
              <w:rPr>
                <w:noProof/>
                <w:webHidden/>
              </w:rPr>
              <w:fldChar w:fldCharType="end"/>
            </w:r>
          </w:hyperlink>
        </w:p>
        <w:p w:rsidR="00D92520">
          <w:pPr>
            <w:pStyle w:val="TOC1"/>
            <w:tabs>
              <w:tab w:val="left" w:pos="440"/>
              <w:tab w:val="right" w:leader="dot" w:pos="9060"/>
            </w:tabs>
            <w:rPr>
              <w:noProof/>
              <w:lang w:eastAsia="tr-TR"/>
            </w:rPr>
          </w:pPr>
          <w:hyperlink w:anchor="_Toc176782620" w:history="1">
            <w:r w:rsidRPr="004E149A">
              <w:rPr>
                <w:rStyle w:val="Hyperlink"/>
                <w:noProof/>
              </w:rPr>
              <w:t>8</w:t>
            </w:r>
            <w:r>
              <w:rPr>
                <w:noProof/>
                <w:lang w:eastAsia="tr-TR"/>
              </w:rPr>
              <w:tab/>
            </w:r>
            <w:r w:rsidRPr="004E149A">
              <w:rPr>
                <w:rStyle w:val="Hyperlink"/>
                <w:noProof/>
              </w:rPr>
              <w:t>POLİTİKA’NIN YÜRÜTÜLMESİ</w:t>
            </w:r>
            <w:r>
              <w:rPr>
                <w:noProof/>
                <w:webHidden/>
              </w:rPr>
              <w:tab/>
            </w:r>
            <w:r>
              <w:rPr>
                <w:noProof/>
                <w:webHidden/>
              </w:rPr>
              <w:fldChar w:fldCharType="begin"/>
            </w:r>
            <w:r>
              <w:rPr>
                <w:noProof/>
                <w:webHidden/>
              </w:rPr>
              <w:instrText xml:space="preserve"> PAGEREF _Toc176782620 \h </w:instrText>
            </w:r>
            <w:r>
              <w:rPr>
                <w:noProof/>
                <w:webHidden/>
              </w:rPr>
              <w:fldChar w:fldCharType="separate"/>
            </w:r>
            <w:r>
              <w:rPr>
                <w:noProof/>
                <w:webHidden/>
              </w:rPr>
              <w:t>4</w:t>
            </w:r>
            <w:r>
              <w:rPr>
                <w:noProof/>
                <w:webHidden/>
              </w:rPr>
              <w:fldChar w:fldCharType="end"/>
            </w:r>
          </w:hyperlink>
        </w:p>
        <w:p w:rsidR="00D92520">
          <w:pPr>
            <w:pStyle w:val="TOC1"/>
            <w:tabs>
              <w:tab w:val="left" w:pos="440"/>
              <w:tab w:val="right" w:leader="dot" w:pos="9060"/>
            </w:tabs>
            <w:rPr>
              <w:noProof/>
              <w:lang w:eastAsia="tr-TR"/>
            </w:rPr>
          </w:pPr>
          <w:hyperlink w:anchor="_Toc176782621" w:history="1">
            <w:r w:rsidRPr="004E149A">
              <w:rPr>
                <w:rStyle w:val="Hyperlink"/>
                <w:noProof/>
              </w:rPr>
              <w:t>9</w:t>
            </w:r>
            <w:r>
              <w:rPr>
                <w:noProof/>
                <w:lang w:eastAsia="tr-TR"/>
              </w:rPr>
              <w:tab/>
            </w:r>
            <w:r w:rsidRPr="004E149A">
              <w:rPr>
                <w:rStyle w:val="Hyperlink"/>
                <w:noProof/>
              </w:rPr>
              <w:t>POLİTİKA’NIN GÖZDEN GEÇİRİLMESİ VE GÜNCELLENMESİ</w:t>
            </w:r>
            <w:r>
              <w:rPr>
                <w:noProof/>
                <w:webHidden/>
              </w:rPr>
              <w:tab/>
            </w:r>
            <w:r>
              <w:rPr>
                <w:noProof/>
                <w:webHidden/>
              </w:rPr>
              <w:fldChar w:fldCharType="begin"/>
            </w:r>
            <w:r>
              <w:rPr>
                <w:noProof/>
                <w:webHidden/>
              </w:rPr>
              <w:instrText xml:space="preserve"> PAGEREF _Toc176782621 \h </w:instrText>
            </w:r>
            <w:r>
              <w:rPr>
                <w:noProof/>
                <w:webHidden/>
              </w:rPr>
              <w:fldChar w:fldCharType="separate"/>
            </w:r>
            <w:r>
              <w:rPr>
                <w:noProof/>
                <w:webHidden/>
              </w:rPr>
              <w:t>5</w:t>
            </w:r>
            <w:r>
              <w:rPr>
                <w:noProof/>
                <w:webHidden/>
              </w:rPr>
              <w:fldChar w:fldCharType="end"/>
            </w:r>
          </w:hyperlink>
        </w:p>
        <w:p w:rsidR="001D509B" w:rsidRPr="007B116A" w:rsidP="00C13F69">
          <w:pPr>
            <w:spacing w:after="0" w:line="360" w:lineRule="auto"/>
            <w:jc w:val="both"/>
            <w:rPr>
              <w:rFonts w:cstheme="minorHAnsi"/>
              <w:noProof/>
            </w:rPr>
          </w:pPr>
          <w:r w:rsidRPr="00F07E64">
            <w:rPr>
              <w:rFonts w:asciiTheme="majorHAnsi" w:hAnsiTheme="majorHAnsi" w:cstheme="majorHAnsi"/>
              <w:b/>
              <w:bCs/>
              <w:noProof/>
            </w:rPr>
            <w:fldChar w:fldCharType="end"/>
          </w:r>
        </w:p>
      </w:sdtContent>
    </w:sdt>
    <w:p w:rsidR="00972011" w:rsidRPr="007B116A" w:rsidP="00C13F69">
      <w:pPr>
        <w:spacing w:after="0" w:line="360" w:lineRule="auto"/>
        <w:jc w:val="both"/>
        <w:rPr>
          <w:rFonts w:cstheme="minorHAnsi"/>
          <w:noProof/>
        </w:rPr>
      </w:pPr>
    </w:p>
    <w:p w:rsidR="00972011" w:rsidRPr="007B116A" w:rsidP="00C13F69">
      <w:pPr>
        <w:spacing w:after="0" w:line="360" w:lineRule="auto"/>
        <w:jc w:val="both"/>
        <w:rPr>
          <w:rFonts w:cstheme="minorHAnsi"/>
          <w:noProof/>
        </w:rPr>
      </w:pPr>
    </w:p>
    <w:p w:rsidR="00972011" w:rsidRPr="007B116A" w:rsidP="00C13F69">
      <w:pPr>
        <w:spacing w:after="0" w:line="360" w:lineRule="auto"/>
        <w:jc w:val="both"/>
        <w:rPr>
          <w:rFonts w:cstheme="minorHAnsi"/>
          <w:noProof/>
        </w:rPr>
      </w:pPr>
    </w:p>
    <w:p w:rsidR="00972011" w:rsidRPr="007B116A" w:rsidP="00C13F69">
      <w:pPr>
        <w:spacing w:after="0" w:line="360" w:lineRule="auto"/>
        <w:jc w:val="both"/>
        <w:rPr>
          <w:rFonts w:cstheme="minorHAnsi"/>
          <w:noProof/>
        </w:rPr>
      </w:pPr>
    </w:p>
    <w:p w:rsidR="00972011" w:rsidRPr="007B116A" w:rsidP="00C13F69">
      <w:pPr>
        <w:spacing w:after="0" w:line="360" w:lineRule="auto"/>
        <w:jc w:val="both"/>
        <w:rPr>
          <w:rFonts w:cstheme="minorHAnsi"/>
          <w:noProof/>
        </w:rPr>
      </w:pPr>
    </w:p>
    <w:p w:rsidR="00972011" w:rsidRPr="007B116A" w:rsidP="00C13F69">
      <w:pPr>
        <w:spacing w:after="0" w:line="360" w:lineRule="auto"/>
        <w:jc w:val="both"/>
        <w:rPr>
          <w:rFonts w:cstheme="minorHAnsi"/>
          <w:noProof/>
        </w:rPr>
      </w:pPr>
    </w:p>
    <w:p w:rsidR="00972011" w:rsidRPr="007B116A" w:rsidP="00C13F69">
      <w:pPr>
        <w:spacing w:after="0" w:line="360" w:lineRule="auto"/>
        <w:jc w:val="both"/>
        <w:rPr>
          <w:rFonts w:cstheme="minorHAnsi"/>
          <w:noProof/>
        </w:rPr>
      </w:pPr>
    </w:p>
    <w:p w:rsidR="00972011" w:rsidRPr="007B116A" w:rsidP="00C13F69">
      <w:pPr>
        <w:spacing w:after="0" w:line="360" w:lineRule="auto"/>
        <w:jc w:val="both"/>
        <w:rPr>
          <w:rFonts w:cstheme="minorHAnsi"/>
          <w:noProof/>
        </w:rPr>
      </w:pPr>
    </w:p>
    <w:p w:rsidR="007957BC" w:rsidP="00C13F69">
      <w:pPr>
        <w:spacing w:after="0" w:line="360" w:lineRule="auto"/>
        <w:jc w:val="both"/>
        <w:rPr>
          <w:rFonts w:cstheme="minorHAnsi"/>
          <w:noProof/>
        </w:rPr>
        <w:sectPr w:rsidSect="007957BC">
          <w:headerReference w:type="default" r:id="rId5"/>
          <w:footerReference w:type="default" r:id="rId6"/>
          <w:pgSz w:w="11906" w:h="16838" w:code="9"/>
          <w:pgMar w:top="1418" w:right="1418" w:bottom="60" w:left="1418" w:header="1134" w:footer="0" w:gutter="0"/>
          <w:pgNumType w:fmt="lowerRoman" w:start="1"/>
          <w:cols w:space="708"/>
          <w:titlePg w:val="0"/>
          <w:docGrid w:linePitch="360"/>
        </w:sectPr>
      </w:pPr>
    </w:p>
    <w:p w:rsidR="00E07FCE" w:rsidRPr="00BB54A4" w:rsidP="00BB54A4">
      <w:pPr>
        <w:pStyle w:val="Heading1"/>
      </w:pPr>
      <w:bookmarkStart w:id="1" w:name="_Toc176782613"/>
      <w:r>
        <w:t>AMAÇ</w:t>
      </w:r>
      <w:bookmarkEnd w:id="1"/>
    </w:p>
    <w:p w:rsidR="006B572A" w:rsidRPr="00967CDE" w:rsidP="00967CDE">
      <w:pPr>
        <w:spacing w:after="0" w:line="360" w:lineRule="auto"/>
        <w:jc w:val="both"/>
        <w:rPr>
          <w:rFonts w:cstheme="minorHAnsi"/>
          <w:szCs w:val="24"/>
        </w:rPr>
      </w:pPr>
      <w:bookmarkStart w:id="2" w:name="_Toc118798581"/>
      <w:bookmarkStart w:id="3" w:name="_Toc123303293"/>
      <w:r w:rsidRPr="00967CDE">
        <w:rPr>
          <w:rFonts w:cstheme="minorHAnsi"/>
          <w:szCs w:val="24"/>
        </w:rPr>
        <w:t>Uludağ Enerji Dağıtım ve Perakende Satış Hizmetleri A.Ş.</w:t>
      </w:r>
      <w:r w:rsidRPr="00967CDE">
        <w:rPr>
          <w:rFonts w:ascii="Arial" w:hAnsi="Arial" w:cs="Arial"/>
          <w:color w:val="757F95"/>
          <w:sz w:val="20"/>
          <w:shd w:val="clear" w:color="auto" w:fill="FFFFFF"/>
        </w:rPr>
        <w:t> </w:t>
      </w:r>
      <w:r w:rsidRPr="00967CDE">
        <w:rPr>
          <w:szCs w:val="24"/>
        </w:rPr>
        <w:t xml:space="preserve"> (“</w:t>
      </w:r>
      <w:r w:rsidRPr="00967CDE">
        <w:rPr>
          <w:b/>
          <w:szCs w:val="24"/>
        </w:rPr>
        <w:t>Uludağ Enerji</w:t>
      </w:r>
      <w:r w:rsidRPr="00967CDE">
        <w:rPr>
          <w:rFonts w:cstheme="minorHAnsi"/>
          <w:szCs w:val="24"/>
        </w:rPr>
        <w:t>”); suç gelirlerinin aklanmasının ve terör ile kitle imha silahlarının yayılmasının finansmanının topluma verebileceği zararların farkındadır. Bu sebeple yasal bir yükümlülüğü olmasa dahi sosyal sorumluluk anlayışıyla, bu Suç Gelirlerinin Aklanmasının ve Terör ile Kitle İmha Silahlarının Yayılmasının Finansmanının Önlenmesi Politikası’nı (“</w:t>
      </w:r>
      <w:r w:rsidRPr="00967CDE">
        <w:rPr>
          <w:rFonts w:cstheme="minorHAnsi"/>
          <w:b/>
          <w:szCs w:val="24"/>
        </w:rPr>
        <w:t>Politika</w:t>
      </w:r>
      <w:r w:rsidRPr="00967CDE">
        <w:rPr>
          <w:rFonts w:cstheme="minorHAnsi"/>
          <w:szCs w:val="24"/>
        </w:rPr>
        <w:t>”) oluşturmuştur. Bu Politika’nın amacı, suç gelirlerinin aklanması ve terör ile kitle imha silahlarının yayılmasının finansmanının önlenmesi konusunda çalışanlarda farkındalık oluşturmak ve olağandışı ya da şüpheli bir işlem ile karşılaşıldığında işlemin yetkili kurum ve kuruluşlara bildirilmesini sağlamaktır.</w:t>
      </w:r>
    </w:p>
    <w:p w:rsidR="006B572A" w:rsidRPr="00967CDE" w:rsidP="00967CDE">
      <w:pPr>
        <w:spacing w:after="0" w:line="360" w:lineRule="auto"/>
        <w:jc w:val="both"/>
      </w:pPr>
      <w:r w:rsidRPr="00967CDE">
        <w:t>Bu Politika; Uludağ Enerji Etik İlkeleri ve Uludağ Enerji’nin Suistimalle mücadele ile ilgili diğer tüm politika, prosedür ve planlarının ayrılmaz bir parçası ve tamamlayıcısıdır.</w:t>
      </w:r>
    </w:p>
    <w:p w:rsidR="00E07FCE" w:rsidRPr="00E07FCE" w:rsidP="00BB54A4">
      <w:pPr>
        <w:pStyle w:val="Heading1"/>
        <w:jc w:val="both"/>
      </w:pPr>
      <w:bookmarkStart w:id="4" w:name="_Toc176782614"/>
      <w:bookmarkEnd w:id="2"/>
      <w:bookmarkEnd w:id="3"/>
      <w:r>
        <w:t>KAPSAM</w:t>
      </w:r>
      <w:bookmarkEnd w:id="4"/>
    </w:p>
    <w:p w:rsidR="006B572A" w:rsidRPr="005D45B4" w:rsidP="006B572A">
      <w:pPr>
        <w:spacing w:after="0" w:line="360" w:lineRule="auto"/>
        <w:jc w:val="both"/>
      </w:pPr>
      <w:r w:rsidRPr="005D45B4">
        <w:t>Yönetim kadrosunun tamamı da dâhil olmak üzere, Uludağ Enerji bünyesinde görev yapan tüm çalışanlar ve yetkilileri bu Politika ile belirtilen kural ve standartlara uymakla yükümlüdür.</w:t>
      </w:r>
    </w:p>
    <w:p w:rsidR="00E07FCE" w:rsidRPr="00BB54A4" w:rsidP="00BB54A4">
      <w:pPr>
        <w:pStyle w:val="Heading1"/>
        <w:jc w:val="both"/>
      </w:pPr>
      <w:bookmarkStart w:id="5" w:name="_Toc176782615"/>
      <w:r>
        <w:t>TANIMLAR</w:t>
      </w:r>
      <w:bookmarkEnd w:id="5"/>
    </w:p>
    <w:p w:rsidR="006B572A" w:rsidRPr="005D45B4" w:rsidP="006B572A">
      <w:pPr>
        <w:spacing w:after="0" w:line="360" w:lineRule="auto"/>
        <w:jc w:val="both"/>
      </w:pPr>
      <w:r w:rsidRPr="005D45B4">
        <w:t>Bu Politika’da geçen;</w:t>
      </w:r>
    </w:p>
    <w:p w:rsidR="006B572A" w:rsidRPr="005D45B4" w:rsidP="006B572A">
      <w:pPr>
        <w:pStyle w:val="ListParagraph"/>
        <w:numPr>
          <w:ilvl w:val="0"/>
          <w:numId w:val="35"/>
        </w:numPr>
        <w:spacing w:after="0" w:line="360" w:lineRule="auto"/>
        <w:jc w:val="both"/>
      </w:pPr>
      <w:r w:rsidRPr="005D45B4">
        <w:rPr>
          <w:b/>
        </w:rPr>
        <w:t>BMGK:</w:t>
      </w:r>
      <w:r w:rsidRPr="005D45B4">
        <w:t xml:space="preserve"> Birleşmiş Milletler Güvenlik Konseyini,</w:t>
      </w:r>
    </w:p>
    <w:p w:rsidR="006B572A" w:rsidRPr="005D45B4" w:rsidP="006B572A">
      <w:pPr>
        <w:pStyle w:val="ListParagraph"/>
        <w:numPr>
          <w:ilvl w:val="0"/>
          <w:numId w:val="35"/>
        </w:numPr>
        <w:spacing w:after="0" w:line="360" w:lineRule="auto"/>
        <w:jc w:val="both"/>
      </w:pPr>
      <w:r w:rsidRPr="005D45B4">
        <w:rPr>
          <w:b/>
        </w:rPr>
        <w:t>BMGK kararı:</w:t>
      </w:r>
      <w:r w:rsidRPr="005D45B4">
        <w:t xml:space="preserve"> Birleşmiş Milletler Güvenlik Konseyinin kitle imha silahlarının yayılmasının finansmanının önlenmesine yönelik yaptırım kararlarını ve bu kararların eklerini,</w:t>
      </w:r>
    </w:p>
    <w:p w:rsidR="006B572A" w:rsidRPr="005D45B4" w:rsidP="006B572A">
      <w:pPr>
        <w:pStyle w:val="ListParagraph"/>
        <w:numPr>
          <w:ilvl w:val="0"/>
          <w:numId w:val="35"/>
        </w:numPr>
        <w:spacing w:after="0" w:line="360" w:lineRule="auto"/>
        <w:jc w:val="both"/>
        <w:rPr>
          <w:b/>
        </w:rPr>
      </w:pPr>
      <w:r w:rsidRPr="005D45B4">
        <w:rPr>
          <w:b/>
        </w:rPr>
        <w:t xml:space="preserve">Çalışan: </w:t>
      </w:r>
      <w:r w:rsidRPr="005D45B4">
        <w:t>Gerek doğrudan gerekse dolaylı olarak süreli veya süresiz istihdam olunan tüm Uludağ Enerji çalışanlarını,</w:t>
      </w:r>
    </w:p>
    <w:p w:rsidR="006B572A" w:rsidRPr="005D45B4" w:rsidP="006B572A">
      <w:pPr>
        <w:pStyle w:val="ListParagraph"/>
        <w:numPr>
          <w:ilvl w:val="0"/>
          <w:numId w:val="35"/>
        </w:numPr>
        <w:spacing w:after="0" w:line="360" w:lineRule="auto"/>
        <w:jc w:val="both"/>
        <w:rPr>
          <w:b/>
        </w:rPr>
      </w:pPr>
      <w:r w:rsidRPr="005D45B4">
        <w:rPr>
          <w:b/>
        </w:rPr>
        <w:t xml:space="preserve">Fon: </w:t>
      </w:r>
      <w:r w:rsidRPr="005D45B4">
        <w:t>Para veya değeri para ile temsil edilebilen taşınır veya taşınmaz, maddi veya gayri maddi her türlü mal, hak, alacak ile bunları temsil eden her türlü belgeyi,</w:t>
      </w:r>
    </w:p>
    <w:p w:rsidR="006B572A" w:rsidRPr="005D45B4" w:rsidP="006B572A">
      <w:pPr>
        <w:pStyle w:val="ListParagraph"/>
        <w:numPr>
          <w:ilvl w:val="0"/>
          <w:numId w:val="35"/>
        </w:numPr>
        <w:spacing w:after="0" w:line="360" w:lineRule="auto"/>
        <w:jc w:val="both"/>
        <w:rPr>
          <w:b/>
        </w:rPr>
      </w:pPr>
      <w:r w:rsidRPr="005D45B4">
        <w:rPr>
          <w:b/>
        </w:rPr>
        <w:t xml:space="preserve">Tedarikçi: </w:t>
      </w:r>
      <w:r w:rsidRPr="005D45B4">
        <w:t>Uludağ Enerji ve grup şirketleri ile herhangi bir iş ilişkisi içerisinde olma ihtimali bulunan</w:t>
      </w:r>
      <w:r w:rsidRPr="005D45B4">
        <w:rPr>
          <w:b/>
        </w:rPr>
        <w:t xml:space="preserve"> </w:t>
      </w:r>
      <w:r w:rsidRPr="005D45B4">
        <w:rPr>
          <w:rFonts w:cstheme="minorHAnsi"/>
        </w:rPr>
        <w:t>tüm iş ortakları, tedarikçiler, distribütörler, alt yükleniciler, yetkili servisler, yükleniciler, danışmanlar, temsilciler, denetçiler ile tüm bunların çalışanları,</w:t>
      </w:r>
    </w:p>
    <w:p w:rsidR="006B572A" w:rsidRPr="005D45B4" w:rsidP="006B572A">
      <w:pPr>
        <w:pStyle w:val="ListParagraph"/>
        <w:numPr>
          <w:ilvl w:val="0"/>
          <w:numId w:val="35"/>
        </w:numPr>
        <w:spacing w:after="0" w:line="360" w:lineRule="auto"/>
        <w:jc w:val="both"/>
        <w:rPr>
          <w:b/>
        </w:rPr>
      </w:pPr>
      <w:r>
        <w:rPr>
          <w:b/>
        </w:rPr>
        <w:t xml:space="preserve">Politika: </w:t>
      </w:r>
      <w:r w:rsidRPr="005D45B4">
        <w:rPr>
          <w:rFonts w:cstheme="minorHAnsi"/>
        </w:rPr>
        <w:t>Uludağ Enerji Suç Gelirlerinin Aklanmasının ve Terör ile Kitle İmha Silahlarının Yayılmasının Finansmanının Önlenmesi Politikası’nı,</w:t>
      </w:r>
    </w:p>
    <w:p w:rsidR="006B572A" w:rsidRPr="005D45B4" w:rsidP="006B572A">
      <w:pPr>
        <w:pStyle w:val="ListParagraph"/>
        <w:numPr>
          <w:ilvl w:val="0"/>
          <w:numId w:val="35"/>
        </w:numPr>
        <w:spacing w:after="0" w:line="360" w:lineRule="auto"/>
        <w:jc w:val="both"/>
        <w:rPr>
          <w:b/>
        </w:rPr>
      </w:pPr>
      <w:r w:rsidRPr="005D45B4">
        <w:rPr>
          <w:b/>
        </w:rPr>
        <w:t xml:space="preserve">Riskli müşteriler: </w:t>
      </w:r>
      <w:r w:rsidRPr="005D45B4">
        <w:t>Riskli ülkelerle ticari ilişkileri olan müşterileri,</w:t>
      </w:r>
    </w:p>
    <w:p w:rsidR="006B572A" w:rsidRPr="005D45B4" w:rsidP="006B572A">
      <w:pPr>
        <w:pStyle w:val="ListParagraph"/>
        <w:numPr>
          <w:ilvl w:val="0"/>
          <w:numId w:val="35"/>
        </w:numPr>
        <w:spacing w:after="0" w:line="360" w:lineRule="auto"/>
        <w:jc w:val="both"/>
        <w:rPr>
          <w:b/>
        </w:rPr>
      </w:pPr>
      <w:r w:rsidRPr="005D45B4">
        <w:rPr>
          <w:b/>
        </w:rPr>
        <w:t xml:space="preserve">Riskli ülkeler: </w:t>
      </w:r>
      <w:r w:rsidRPr="005D45B4">
        <w:t>Aklama ve terörün finansmanının önlenmesi konusunda yeterli düzenlemelere sahip olmayan, bu suçlarla mücadele konusunda işbirliği yapmayan veya yetkili uluslararası kuruluşlarca riskli kabul edilen ülkelerden Hazine ve Maliye Bakanlığınca duyurulanları,</w:t>
      </w:r>
    </w:p>
    <w:p w:rsidR="006B572A" w:rsidRPr="005D45B4" w:rsidP="006B572A">
      <w:pPr>
        <w:pStyle w:val="ListParagraph"/>
        <w:numPr>
          <w:ilvl w:val="0"/>
          <w:numId w:val="35"/>
        </w:numPr>
        <w:spacing w:after="0" w:line="360" w:lineRule="auto"/>
        <w:jc w:val="both"/>
        <w:rPr>
          <w:b/>
        </w:rPr>
      </w:pPr>
      <w:r w:rsidRPr="005D45B4">
        <w:rPr>
          <w:b/>
        </w:rPr>
        <w:t xml:space="preserve">Suç geliri: </w:t>
      </w:r>
      <w:r w:rsidRPr="005D45B4">
        <w:t>Suçtan kaynaklanan malvarlığı değerini,</w:t>
      </w:r>
    </w:p>
    <w:p w:rsidR="00D73B3D" w:rsidRPr="005D45B4" w:rsidP="001F3C56">
      <w:pPr>
        <w:pStyle w:val="ListParagraph"/>
        <w:numPr>
          <w:ilvl w:val="0"/>
          <w:numId w:val="35"/>
        </w:numPr>
        <w:spacing w:after="0" w:line="360" w:lineRule="auto"/>
        <w:jc w:val="both"/>
      </w:pPr>
      <w:r w:rsidRPr="005D45B4">
        <w:rPr>
          <w:b/>
        </w:rPr>
        <w:t xml:space="preserve">Suç gelirlerinin aklanması: </w:t>
      </w:r>
      <w:r w:rsidRPr="005D45B4">
        <w:t>Suçtan kaynaklanan malvarlığı değerlerinin, yurt dışına çıkarılması veya bunların gayrimeşru kaynağının gizlenmesi veya meşru bir yolla elde edildiği konusunda kanaat uyandırmak maksadıyla, çeşitli işlemlere tâbi tutulmasını,</w:t>
      </w:r>
    </w:p>
    <w:p w:rsidR="006B572A" w:rsidRPr="005D45B4" w:rsidP="006B572A">
      <w:pPr>
        <w:pStyle w:val="ListParagraph"/>
        <w:numPr>
          <w:ilvl w:val="0"/>
          <w:numId w:val="35"/>
        </w:numPr>
        <w:spacing w:after="0" w:line="360" w:lineRule="auto"/>
        <w:jc w:val="both"/>
        <w:rPr>
          <w:b/>
        </w:rPr>
      </w:pPr>
      <w:r w:rsidRPr="005D45B4">
        <w:rPr>
          <w:b/>
        </w:rPr>
        <w:t xml:space="preserve">Suistimal: </w:t>
      </w:r>
      <w:r w:rsidRPr="005D45B4">
        <w:t>Rüşvet, yolsuzluk, hile, zimmet, irtikâp, hırsızlık, dolandırıcılık, sahtecilik, görevi kötüye kullanma ve diğer tüm yasadışı faaliyetler, usulsüzlükler ile Uludağ Enerji Etik İlkelerine ve buna bağlı politika ve prosedürlere aykırılık teşkil eden bütün fiilleri,</w:t>
      </w:r>
    </w:p>
    <w:p w:rsidR="006B572A" w:rsidRPr="005D45B4" w:rsidP="006B572A">
      <w:pPr>
        <w:pStyle w:val="ListParagraph"/>
        <w:numPr>
          <w:ilvl w:val="0"/>
          <w:numId w:val="35"/>
        </w:numPr>
        <w:spacing w:after="0" w:line="360" w:lineRule="auto"/>
        <w:jc w:val="both"/>
      </w:pPr>
      <w:r w:rsidRPr="005D45B4">
        <w:rPr>
          <w:b/>
        </w:rPr>
        <w:t xml:space="preserve">Şüpheli işlem: </w:t>
      </w:r>
      <w:r w:rsidRPr="005D45B4">
        <w:t>İlgili mevzuat ile belirtilen yükümlüler nezdinde veya bunlar aracılığıyla yapılan veya yapılmaya teşebbüs edilen işleme konu malvarlığının; yasa dışı yollardan elde edildiğine veya yasa dışı amaçlarla kullanıldığına, bu kapsamda terörist eylemler için ya da terör örgütleri, teröristler veya terörü finanse edenler tarafından kullanıldığına veya bunlarla ilgili ya da bağlantılı olduğuna dair herhangi bir bilgi, şüphe veya şüpheyi gerektirecek bir hususun bulunması halini,</w:t>
      </w:r>
    </w:p>
    <w:p w:rsidR="006B572A" w:rsidRPr="005D45B4" w:rsidP="006B572A">
      <w:pPr>
        <w:pStyle w:val="ListParagraph"/>
        <w:numPr>
          <w:ilvl w:val="0"/>
          <w:numId w:val="35"/>
        </w:numPr>
        <w:spacing w:after="0" w:line="360" w:lineRule="auto"/>
        <w:jc w:val="both"/>
      </w:pPr>
      <w:r w:rsidRPr="005D45B4">
        <w:rPr>
          <w:b/>
        </w:rPr>
        <w:t>Terörizmin finansmanı:</w:t>
      </w:r>
      <w:r w:rsidRPr="005D45B4">
        <w:t xml:space="preserve"> Bir teröriste veya terör örgütlerine fon sağlanması veya toplanmasını,</w:t>
      </w:r>
    </w:p>
    <w:p w:rsidR="006B572A" w:rsidRPr="005D45B4" w:rsidP="006B572A">
      <w:pPr>
        <w:pStyle w:val="ListParagraph"/>
        <w:numPr>
          <w:ilvl w:val="0"/>
          <w:numId w:val="35"/>
        </w:numPr>
        <w:spacing w:after="0" w:line="360" w:lineRule="auto"/>
        <w:jc w:val="both"/>
        <w:rPr>
          <w:rFonts w:cstheme="minorHAnsi"/>
        </w:rPr>
      </w:pPr>
      <w:r w:rsidRPr="005D45B4">
        <w:rPr>
          <w:b/>
        </w:rPr>
        <w:t xml:space="preserve">Uludağ Enerji: </w:t>
      </w:r>
      <w:r w:rsidRPr="00967CDE">
        <w:rPr>
          <w:rFonts w:cstheme="minorHAnsi"/>
          <w:szCs w:val="24"/>
        </w:rPr>
        <w:t>Uludağ Enerji Dağıtım ve Perakende Satış Hizmetleri A.Ş.</w:t>
      </w:r>
    </w:p>
    <w:p w:rsidR="006B572A" w:rsidRPr="005D45B4" w:rsidP="006B572A">
      <w:pPr>
        <w:pStyle w:val="ListParagraph"/>
        <w:numPr>
          <w:ilvl w:val="0"/>
          <w:numId w:val="35"/>
        </w:numPr>
        <w:spacing w:after="0" w:line="360" w:lineRule="auto"/>
        <w:jc w:val="both"/>
        <w:rPr>
          <w:b/>
        </w:rPr>
      </w:pPr>
      <w:r w:rsidRPr="005D45B4">
        <w:rPr>
          <w:b/>
        </w:rPr>
        <w:t xml:space="preserve">Yönetici: </w:t>
      </w:r>
      <w:r w:rsidRPr="005D45B4">
        <w:t>Çalışanın operasyonel veya idari yöneticisini,</w:t>
      </w:r>
    </w:p>
    <w:p w:rsidR="006B572A" w:rsidRPr="005D45B4" w:rsidP="006B572A">
      <w:pPr>
        <w:spacing w:after="0" w:line="360" w:lineRule="auto"/>
        <w:jc w:val="both"/>
        <w:rPr>
          <w:sz w:val="20"/>
          <w:szCs w:val="24"/>
        </w:rPr>
      </w:pPr>
      <w:r w:rsidRPr="005D45B4">
        <w:t>ifade eder.</w:t>
      </w:r>
    </w:p>
    <w:p w:rsidR="006B572A" w:rsidRPr="006B572A" w:rsidP="006B572A">
      <w:pPr>
        <w:pStyle w:val="Heading1"/>
      </w:pPr>
      <w:bookmarkStart w:id="6" w:name="_Toc176782616"/>
      <w:r w:rsidRPr="006B572A">
        <w:t>MÜŞTERİNİN TANINMASI VE RİSK YÖNETİMİ</w:t>
      </w:r>
      <w:bookmarkEnd w:id="6"/>
    </w:p>
    <w:p w:rsidR="006B572A" w:rsidRPr="005D45B4" w:rsidP="006B572A">
      <w:pPr>
        <w:spacing w:line="360" w:lineRule="auto"/>
        <w:jc w:val="both"/>
        <w:rPr>
          <w:rFonts w:cstheme="minorHAnsi"/>
        </w:rPr>
      </w:pPr>
      <w:r w:rsidRPr="005D45B4">
        <w:rPr>
          <w:rFonts w:cstheme="minorHAnsi"/>
        </w:rPr>
        <w:t>Tüm Uludağ Enerji çalışanları, suç gelirlerinin aklanmasının ve terör ile kitle imha silahlarının yayılmasının finansmanı hususunda şüpheli işlem işaretlerini gözden kaçırmamak için müşteri veya tedarikçilerle tesis edecekleri işlemden önce, müşteri ve tedarikçiler ile nam veya hesaplarına işlem yapanların tanınmasına yönelik gerekli özeni göstermek ve durum tespiti yapmakla yükümlüdür.</w:t>
      </w:r>
    </w:p>
    <w:p w:rsidR="006B572A" w:rsidRPr="005D45B4" w:rsidP="006B572A">
      <w:pPr>
        <w:spacing w:line="360" w:lineRule="auto"/>
        <w:jc w:val="both"/>
      </w:pPr>
      <w:r w:rsidRPr="005D45B4">
        <w:t>Uludağ Enerji; gerçek kimlikleri ve adresleri belirlenemeyen kişiler ile resmi kurumların suç gelirlerinin aklanmasının ve terör ile kitle imha silahlarının yayılmasının finansmanının önlenmesi konusunda yayımladıkları listelerde adı geçen kişi ve kurumlar ile herhangi bir ilişki içinde olmamayı taahhüt eder. Uludağ Enerji, bir tedarikçi ile ilişkiye girmeden önce tedarikçinin BMGK Kararı, Hazine ve Maliye Bakanlığı ve ilgili kurum ve organizasyonlar tarafından duyurulan yaptırım listelerinde olmadığından emin olur ve bu doğrultuda bir tedarikçi risk yönetim süreci yürütür. Bu süreç kapsamında iş ilişkisine girme ihtimali olan tedarikçi ile ilgili suç gelirlerinin aklanmasının ve terör ile kitle imha silahlarının yayılmasının finansmanı ile mücadele kapsamında karşılaşılabilecek risklerin tespiti ve yönetimi de dâhil olmak üzere tedarikçinin Uludağ Enerji iç kurallarının uygunluğu denetlenir. Tedarikçi risk yönetim süreci, Sorumlu Tedarik Politikası ve buna bağlı olarak düzenlenmiş ilgili politika, prosedür ve kurallar ile düzenlenir.</w:t>
      </w:r>
    </w:p>
    <w:p w:rsidR="006B572A" w:rsidRPr="006B572A" w:rsidP="006B572A">
      <w:pPr>
        <w:pStyle w:val="Heading1"/>
      </w:pPr>
      <w:bookmarkStart w:id="7" w:name="_Toc176782617"/>
      <w:r>
        <w:t>ŞÜPHELİ İŞLEMLER</w:t>
      </w:r>
      <w:bookmarkEnd w:id="7"/>
    </w:p>
    <w:p w:rsidR="006B572A" w:rsidRPr="005D45B4" w:rsidP="006B572A">
      <w:pPr>
        <w:spacing w:after="0" w:line="360" w:lineRule="auto"/>
        <w:jc w:val="both"/>
        <w:rPr>
          <w:rFonts w:cstheme="minorHAnsi"/>
        </w:rPr>
      </w:pPr>
      <w:r w:rsidRPr="005D45B4">
        <w:rPr>
          <w:rFonts w:cstheme="minorHAnsi"/>
        </w:rPr>
        <w:t>Tüm Uludağ Enerji Çalışanları, suç gelirlerinin aklanmasının ve terör ile kitle imha silahlarının yayılmasının finansmanı hususunda şüpheli işlem işaretlerine karşı her daim tetikte olmalıdır. Müşteri veya tedarikçilerle tesis edilecek işleme konu malvarlığının yasa dışı yollardan elde edildiğine veya yasa dışı amaçlarla kullanıldığına dair herhangi bir bilgi, şüphe veya şüpheyi gerektirecek bir hususun bulunması halinde bu işlemin 7. maddede belirtilen yöntemlerden herhangi biriyle bildirilmesi zorunludur.</w:t>
      </w:r>
    </w:p>
    <w:p w:rsidR="006B572A" w:rsidRPr="005D45B4" w:rsidP="006B572A">
      <w:pPr>
        <w:spacing w:after="0" w:line="360" w:lineRule="auto"/>
        <w:jc w:val="both"/>
      </w:pPr>
      <w:r w:rsidRPr="005D45B4">
        <w:t>Şüpheli işlemlere aşağıdakiler örnek olarak gösterilebilir:</w:t>
      </w:r>
    </w:p>
    <w:p w:rsidR="006B572A" w:rsidRPr="005D45B4" w:rsidP="006B572A">
      <w:pPr>
        <w:pStyle w:val="ListParagraph"/>
        <w:numPr>
          <w:ilvl w:val="0"/>
          <w:numId w:val="38"/>
        </w:numPr>
        <w:spacing w:after="0" w:line="360" w:lineRule="auto"/>
        <w:jc w:val="both"/>
      </w:pPr>
      <w:r w:rsidRPr="005D45B4">
        <w:t>Riskli ülkelerle bir bağlantısı olan işlemler,</w:t>
      </w:r>
    </w:p>
    <w:p w:rsidR="006B572A" w:rsidRPr="005D45B4" w:rsidP="006B572A">
      <w:pPr>
        <w:pStyle w:val="ListParagraph"/>
        <w:numPr>
          <w:ilvl w:val="0"/>
          <w:numId w:val="38"/>
        </w:numPr>
        <w:spacing w:after="0" w:line="360" w:lineRule="auto"/>
        <w:jc w:val="both"/>
      </w:pPr>
      <w:r w:rsidRPr="005D45B4">
        <w:t>Piyasa fiyatlarının üstünde ödeme yapmayı kabul eden müşteri/tedarikçiler,</w:t>
      </w:r>
    </w:p>
    <w:p w:rsidR="006B572A" w:rsidRPr="005D45B4" w:rsidP="006B572A">
      <w:pPr>
        <w:pStyle w:val="ListParagraph"/>
        <w:numPr>
          <w:ilvl w:val="0"/>
          <w:numId w:val="38"/>
        </w:numPr>
        <w:spacing w:after="0" w:line="360" w:lineRule="auto"/>
        <w:jc w:val="both"/>
        <w:rPr>
          <w:szCs w:val="24"/>
        </w:rPr>
      </w:pPr>
      <w:r w:rsidRPr="005D45B4">
        <w:rPr>
          <w:szCs w:val="24"/>
        </w:rPr>
        <w:t>Müşteri/tedarikçinin paravan olabileceği ya da muvazaalı bir işlem tesis edeceği konusunda şüphe olan işlemler,</w:t>
      </w:r>
    </w:p>
    <w:p w:rsidR="006B572A" w:rsidRPr="005D45B4" w:rsidP="006B572A">
      <w:pPr>
        <w:pStyle w:val="ListParagraph"/>
        <w:numPr>
          <w:ilvl w:val="0"/>
          <w:numId w:val="38"/>
        </w:numPr>
        <w:spacing w:after="0" w:line="360" w:lineRule="auto"/>
        <w:jc w:val="both"/>
        <w:rPr>
          <w:szCs w:val="24"/>
        </w:rPr>
      </w:pPr>
      <w:r w:rsidRPr="005D45B4">
        <w:rPr>
          <w:szCs w:val="24"/>
        </w:rPr>
        <w:t>Müşteri/tedarikçinin sürdürdüğü faaliyetler, ekonomik durumu ile işlemleri arasında makul bir orantı bulunmaması,</w:t>
      </w:r>
    </w:p>
    <w:p w:rsidR="006B572A" w:rsidRPr="005D45B4" w:rsidP="006B572A">
      <w:pPr>
        <w:pStyle w:val="ListParagraph"/>
        <w:numPr>
          <w:ilvl w:val="0"/>
          <w:numId w:val="38"/>
        </w:numPr>
        <w:spacing w:after="0" w:line="360" w:lineRule="auto"/>
        <w:jc w:val="both"/>
        <w:rPr>
          <w:szCs w:val="24"/>
        </w:rPr>
      </w:pPr>
      <w:r w:rsidRPr="005D45B4">
        <w:rPr>
          <w:szCs w:val="24"/>
        </w:rPr>
        <w:t>Müşteri/tedarikçinin riskli müşterilerle bir ilişkisi olması,</w:t>
      </w:r>
    </w:p>
    <w:p w:rsidR="006B572A" w:rsidRPr="005D45B4" w:rsidP="006B572A">
      <w:pPr>
        <w:pStyle w:val="ListParagraph"/>
        <w:numPr>
          <w:ilvl w:val="0"/>
          <w:numId w:val="38"/>
        </w:numPr>
        <w:spacing w:after="0" w:line="360" w:lineRule="auto"/>
        <w:jc w:val="both"/>
        <w:rPr>
          <w:szCs w:val="24"/>
        </w:rPr>
      </w:pPr>
      <w:r w:rsidRPr="005D45B4">
        <w:rPr>
          <w:szCs w:val="24"/>
        </w:rPr>
        <w:t>Tesis edilen/edilecek işlemin doğasına uygun olmayan anormal nakit transferleri,</w:t>
      </w:r>
    </w:p>
    <w:p w:rsidR="006B572A" w:rsidRPr="005D45B4" w:rsidP="00FA3A01">
      <w:pPr>
        <w:pStyle w:val="ListParagraph"/>
        <w:numPr>
          <w:ilvl w:val="0"/>
          <w:numId w:val="38"/>
        </w:numPr>
        <w:spacing w:after="0" w:line="360" w:lineRule="auto"/>
        <w:jc w:val="both"/>
        <w:rPr>
          <w:szCs w:val="24"/>
        </w:rPr>
      </w:pPr>
      <w:r w:rsidRPr="005D45B4">
        <w:rPr>
          <w:rFonts w:cstheme="minorHAnsi"/>
          <w:szCs w:val="24"/>
        </w:rPr>
        <w:t>Müşteri/tedarikçiler ile nam veya hesaplarına işlem yapanların kimliğinin tespit edilememesi.</w:t>
      </w:r>
    </w:p>
    <w:p w:rsidR="00FA3A01" w:rsidP="00FA3A01">
      <w:pPr>
        <w:pStyle w:val="Heading1"/>
      </w:pPr>
      <w:bookmarkStart w:id="8" w:name="_Toc176782618"/>
      <w:r>
        <w:t>SORUMLULUK</w:t>
      </w:r>
      <w:bookmarkEnd w:id="8"/>
    </w:p>
    <w:p w:rsidR="006B572A" w:rsidRPr="005D45B4" w:rsidP="006B572A">
      <w:pPr>
        <w:spacing w:after="0" w:line="360" w:lineRule="auto"/>
        <w:jc w:val="both"/>
      </w:pPr>
      <w:r w:rsidRPr="005D45B4">
        <w:t>Bildirilen veya tespit edilen şüpheli işlemin ilgili kurum ya da kuruluşlara aktarılmasından Hukuk ve Uyum Başkanlığı sorumludur. Uludağ Enerji’nin tüm çalışanları, yöneticileri ve birimleri bu Politika ile ilgili Hukuk ve Uyum Başkanlığına gerekli desteği vermekle ve iş birliğinde bulunmakla yükümlüdür.</w:t>
      </w:r>
    </w:p>
    <w:p w:rsidR="006B572A" w:rsidRPr="006B572A" w:rsidP="006B572A">
      <w:pPr>
        <w:pStyle w:val="Heading1"/>
      </w:pPr>
      <w:bookmarkStart w:id="9" w:name="_Toc176782619"/>
      <w:r>
        <w:t>POLİTİKA’NIN İHLALİ</w:t>
      </w:r>
      <w:bookmarkEnd w:id="9"/>
    </w:p>
    <w:p w:rsidR="006B572A" w:rsidRPr="005D45B4" w:rsidP="006B572A">
      <w:pPr>
        <w:spacing w:after="0" w:line="360" w:lineRule="auto"/>
        <w:jc w:val="both"/>
      </w:pPr>
      <w:r w:rsidRPr="005D45B4">
        <w:t>Bu Politika’ya herhangi bir Uludağ Enerji çalışanı tarafından uyulmaması halinde, iş sözleşmesinin sona ermesi de dâhil, gerekli disiplin tedbirleri uygulanır. Ayrıca bu Politika’ya aykırı davranış ve işlemler, Uludağ Enerji ve çalışanları için ağır cezai ve hukuki yaptırımlarla sonuçlanabilir.</w:t>
      </w:r>
    </w:p>
    <w:p w:rsidR="006B572A" w:rsidRPr="005D45B4" w:rsidP="006B572A">
      <w:pPr>
        <w:spacing w:after="0" w:line="360" w:lineRule="auto"/>
        <w:jc w:val="both"/>
      </w:pPr>
      <w:r w:rsidRPr="005D45B4">
        <w:t>Çalışanlar, Bu Politika’ya veya ilgili mevzuata aykırı olduğunu düşündükleri herhangi bir eylemin farkına varmaları durumunda bu olayı aşağıda belirtilen yöntemlerle Hukuk ve Uyum Başkanlığına bildirmekle yükümlüdür:</w:t>
      </w:r>
    </w:p>
    <w:p w:rsidR="006B572A" w:rsidRPr="005D45B4" w:rsidP="006B572A">
      <w:pPr>
        <w:pStyle w:val="ListParagraph"/>
        <w:numPr>
          <w:ilvl w:val="0"/>
          <w:numId w:val="41"/>
        </w:numPr>
        <w:spacing w:after="0" w:line="360" w:lineRule="auto"/>
        <w:jc w:val="both"/>
      </w:pPr>
      <w:r w:rsidRPr="005D45B4">
        <w:t xml:space="preserve">E-posta: </w:t>
      </w:r>
      <w:hyperlink r:id="rId7" w:history="1">
        <w:r w:rsidRPr="005D45B4">
          <w:rPr>
            <w:rStyle w:val="Hyperlink"/>
          </w:rPr>
          <w:t>uludag@etikhat.com</w:t>
        </w:r>
      </w:hyperlink>
    </w:p>
    <w:p w:rsidR="006B572A" w:rsidRPr="005D45B4" w:rsidP="006B572A">
      <w:pPr>
        <w:pStyle w:val="ListParagraph"/>
        <w:numPr>
          <w:ilvl w:val="0"/>
          <w:numId w:val="41"/>
        </w:numPr>
        <w:spacing w:after="0" w:line="360" w:lineRule="auto"/>
        <w:jc w:val="both"/>
      </w:pPr>
      <w:r w:rsidRPr="005D45B4">
        <w:t xml:space="preserve">Web: </w:t>
      </w:r>
      <w:hyperlink r:id="rId8" w:history="1">
        <w:r w:rsidRPr="005D45B4">
          <w:rPr>
            <w:rStyle w:val="Hyperlink"/>
          </w:rPr>
          <w:t>https://www.remedetikhat.com.tr/login</w:t>
        </w:r>
      </w:hyperlink>
      <w:r w:rsidRPr="005D45B4">
        <w:t xml:space="preserve"> (Kullanıcı adı: uludag Şifre: uludag16)</w:t>
      </w:r>
    </w:p>
    <w:p w:rsidR="006B572A" w:rsidRPr="005D45B4" w:rsidP="006B572A">
      <w:pPr>
        <w:pStyle w:val="ListParagraph"/>
        <w:numPr>
          <w:ilvl w:val="0"/>
          <w:numId w:val="41"/>
        </w:numPr>
        <w:spacing w:after="0" w:line="360" w:lineRule="auto"/>
        <w:jc w:val="both"/>
      </w:pPr>
      <w:r w:rsidRPr="005D45B4">
        <w:t>Telefon: 0212 800 34 55</w:t>
      </w:r>
    </w:p>
    <w:p w:rsidR="006B572A" w:rsidP="006B572A">
      <w:pPr>
        <w:pStyle w:val="ListParagraph"/>
        <w:numPr>
          <w:ilvl w:val="0"/>
          <w:numId w:val="41"/>
        </w:numPr>
        <w:spacing w:after="0" w:line="360" w:lineRule="auto"/>
        <w:jc w:val="both"/>
        <w:rPr>
          <w:sz w:val="24"/>
          <w:szCs w:val="24"/>
        </w:rPr>
      </w:pPr>
      <w:r w:rsidRPr="005D45B4">
        <w:t>Doğrudan Hukuk ve Uyum Başkanlığına ileterek</w:t>
      </w:r>
      <w:r>
        <w:rPr>
          <w:sz w:val="24"/>
          <w:szCs w:val="24"/>
        </w:rPr>
        <w:t>.</w:t>
      </w:r>
    </w:p>
    <w:p w:rsidR="006B572A" w:rsidRPr="006B572A" w:rsidP="006B572A">
      <w:pPr>
        <w:pStyle w:val="Heading1"/>
      </w:pPr>
      <w:bookmarkStart w:id="10" w:name="_Toc176782620"/>
      <w:r>
        <w:t>POLİTİKA’NIN YÜRÜTÜLMESİ</w:t>
      </w:r>
      <w:bookmarkEnd w:id="10"/>
    </w:p>
    <w:p w:rsidR="006B572A" w:rsidRPr="005D45B4" w:rsidP="006B572A">
      <w:pPr>
        <w:spacing w:after="0" w:line="360" w:lineRule="auto"/>
        <w:jc w:val="both"/>
      </w:pPr>
      <w:r w:rsidRPr="005D45B4">
        <w:t xml:space="preserve">Bu Politika, Hukuk ve Uyum Başkanlığı tarafından yürütülür. </w:t>
      </w:r>
    </w:p>
    <w:p w:rsidR="006B572A" w:rsidRPr="006B572A" w:rsidP="006B572A">
      <w:pPr>
        <w:pStyle w:val="Heading1"/>
      </w:pPr>
      <w:bookmarkStart w:id="11" w:name="_Toc176782621"/>
      <w:r>
        <w:t>POLİTİKA’NIN GÖZDEN GEÇİRİLMESİ VE GÜNCELLENMESİ</w:t>
      </w:r>
      <w:bookmarkEnd w:id="11"/>
    </w:p>
    <w:p w:rsidR="006B572A" w:rsidRPr="005D45B4" w:rsidP="006B572A">
      <w:pPr>
        <w:spacing w:after="0" w:line="360" w:lineRule="auto"/>
        <w:jc w:val="both"/>
      </w:pPr>
      <w:r w:rsidRPr="005D45B4">
        <w:t xml:space="preserve">Bu Politika, Hukuk ve Uyum Başkanlığı tarafından düzenli olarak gözden geçirilir ve gerektiğinde güncellenir. </w:t>
      </w:r>
    </w:p>
    <w:p w:rsidR="00C71DB1" w:rsidRPr="00FA3A01" w:rsidP="00FA3A01"/>
    <w:sectPr w:rsidSect="007957BC">
      <w:pgSz w:w="11906" w:h="16838" w:code="9"/>
      <w:pgMar w:top="1418" w:right="1418" w:bottom="1418" w:left="1418" w:header="1134" w:footer="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nil"/>
        <w:left w:val="nil"/>
        <w:bottom w:val="nil"/>
        <w:right w:val="nil"/>
        <w:insideH w:val="nil"/>
        <w:insideV w:val="nil"/>
      </w:tblBorders>
      <w:tblCellMar>
        <w:left w:w="108" w:type="dxa"/>
        <w:right w:w="108" w:type="dxa"/>
      </w:tblCellMar>
    </w:tblPr>
    <w:tblGrid>
      <w:gridCol w:w="3023"/>
      <w:gridCol w:w="3023"/>
      <w:gridCol w:w="3023"/>
    </w:tblGrid>
    <w:tr>
      <w:tblPrEx>
        <w:tblW w:w="5000" w:type="pct"/>
        <w:tblBorders>
          <w:top w:val="nil"/>
          <w:left w:val="nil"/>
          <w:bottom w:val="nil"/>
          <w:right w:val="nil"/>
          <w:insideH w:val="nil"/>
          <w:insideV w:val="nil"/>
        </w:tblBorders>
        <w:tblCellMar>
          <w:left w:w="108" w:type="dxa"/>
          <w:right w:w="108" w:type="dxa"/>
        </w:tblCellMar>
      </w:tblPrEx>
      <w:tc>
        <w:tcPr>
          <w:tcW w:w="1650" w:type="pct"/>
        </w:tcPr>
        <w:p>
          <w:pPr>
            <w:jc w:val="left"/>
            <w:rPr>
              <w:rFonts w:ascii="Arial" w:eastAsia="Arial" w:hAnsi="Arial" w:cs="Arial"/>
              <w:sz w:val="16"/>
            </w:rPr>
          </w:pPr>
          <w:r>
            <w:rPr>
              <w:rFonts w:ascii="Arial" w:eastAsia="Arial" w:hAnsi="Arial" w:cs="Arial"/>
              <w:sz w:val="16"/>
            </w:rPr>
            <w:t xml:space="preserve">Dok. Kodu: </w:t>
          </w:r>
          <w:r>
            <w:rPr>
              <w:rFonts w:ascii="Arial" w:eastAsia="Arial" w:hAnsi="Arial" w:cs="Arial"/>
              <w:sz w:val="16"/>
            </w:rPr>
            <w:t>POL.014</w:t>
          </w:r>
        </w:p>
        <w:p>
          <w:pPr>
            <w:jc w:val="left"/>
            <w:rPr>
              <w:rFonts w:ascii="Arial" w:eastAsia="Arial" w:hAnsi="Arial" w:cs="Arial"/>
              <w:sz w:val="16"/>
            </w:rPr>
          </w:pPr>
          <w:r>
            <w:rPr>
              <w:rFonts w:ascii="Arial" w:eastAsia="Arial" w:hAnsi="Arial" w:cs="Arial"/>
              <w:sz w:val="16"/>
            </w:rPr>
            <w:t xml:space="preserve">Haz. Tar: </w:t>
          </w:r>
          <w:r>
            <w:rPr>
              <w:rFonts w:ascii="Arial" w:eastAsia="Arial" w:hAnsi="Arial" w:cs="Arial"/>
              <w:sz w:val="16"/>
            </w:rPr>
            <w:t>9.09.2024</w:t>
          </w:r>
        </w:p>
        <w:p>
          <w:pPr>
            <w:jc w:val="left"/>
            <w:rPr>
              <w:rFonts w:ascii="Arial" w:eastAsia="Arial" w:hAnsi="Arial" w:cs="Arial"/>
              <w:sz w:val="16"/>
            </w:rPr>
          </w:pPr>
          <w:r>
            <w:rPr>
              <w:rFonts w:ascii="Arial" w:eastAsia="Arial" w:hAnsi="Arial" w:cs="Arial"/>
              <w:sz w:val="16"/>
            </w:rPr>
            <w:t xml:space="preserve">Rev. Tar: </w:t>
          </w:r>
          <w:r>
            <w:rPr>
              <w:rFonts w:ascii="Arial" w:eastAsia="Arial" w:hAnsi="Arial" w:cs="Arial"/>
              <w:sz w:val="16"/>
            </w:rPr>
            <w:t>9.09.2024</w:t>
          </w:r>
        </w:p>
      </w:tc>
      <w:tc>
        <w:tcPr>
          <w:tcW w:w="1650" w:type="pct"/>
        </w:tcPr>
        <w:p>
          <w:pPr>
            <w:jc w:val="center"/>
            <w:rPr>
              <w:rFonts w:ascii="0" w:eastAsia="0" w:hAnsi="0" w:cs="0"/>
              <w:sz w:val="0"/>
            </w:rPr>
          </w:pPr>
        </w:p>
        <w:p>
          <w:pPr>
            <w:jc w:val="center"/>
            <w:rPr>
              <w:rFonts w:ascii="0" w:eastAsia="0" w:hAnsi="0" w:cs="0"/>
              <w:sz w:val="0"/>
            </w:rPr>
          </w:pPr>
        </w:p>
        <w:p>
          <w:pPr>
            <w:jc w:val="center"/>
            <w:rPr>
              <w:rFonts w:ascii="0" w:eastAsia="0" w:hAnsi="0" w:cs="0"/>
              <w:sz w:val="0"/>
            </w:rPr>
          </w:pPr>
        </w:p>
      </w:tc>
      <w:tc>
        <w:tcPr>
          <w:tcW w:w="1650" w:type="pct"/>
        </w:tcPr>
        <w:p>
          <w:pPr>
            <w:jc w:val="left"/>
            <w:rPr>
              <w:rFonts w:ascii="Arial" w:eastAsia="Arial" w:hAnsi="Arial" w:cs="Arial"/>
              <w:sz w:val="16"/>
            </w:rPr>
          </w:pPr>
          <w:r>
            <w:rPr>
              <w:rFonts w:ascii="Arial" w:eastAsia="Arial" w:hAnsi="Arial" w:cs="Arial"/>
              <w:sz w:val="16"/>
            </w:rPr>
            <w:t xml:space="preserve">Sayfa No: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sz w:val="16"/>
            </w:rPr>
            <w:fldChar w:fldCharType="end"/>
          </w:r>
        </w:p>
        <w:p>
          <w:pPr>
            <w:jc w:val="left"/>
            <w:rPr>
              <w:rFonts w:ascii="Arial" w:eastAsia="Arial" w:hAnsi="Arial" w:cs="Arial"/>
              <w:sz w:val="16"/>
            </w:rPr>
          </w:pPr>
          <w:r>
            <w:rPr>
              <w:rFonts w:ascii="Arial" w:eastAsia="Arial" w:hAnsi="Arial" w:cs="Arial"/>
              <w:sz w:val="16"/>
            </w:rPr>
            <w:t xml:space="preserve">Rev. No: </w:t>
          </w:r>
          <w:r>
            <w:rPr>
              <w:rFonts w:ascii="Arial" w:eastAsia="Arial" w:hAnsi="Arial" w:cs="Arial"/>
              <w:sz w:val="16"/>
            </w:rPr>
            <w:t>0</w:t>
          </w:r>
        </w:p>
        <w:p>
          <w:pPr>
            <w:jc w:val="left"/>
            <w:rPr>
              <w:rFonts w:ascii="0" w:eastAsia="0" w:hAnsi="0" w:cs="0"/>
              <w:sz w:val="0"/>
            </w:rPr>
          </w:pPr>
        </w:p>
      </w:tc>
    </w:tr>
  </w:tbl>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Ind w:w="-289" w:type="dxa"/>
      <w:tblLook w:val="04A0"/>
    </w:tblPr>
    <w:tblGrid>
      <w:gridCol w:w="1924"/>
      <w:gridCol w:w="4979"/>
      <w:gridCol w:w="988"/>
      <w:gridCol w:w="1458"/>
    </w:tblGrid>
    <w:tr w:rsidTr="008E36F9">
      <w:tblPrEx>
        <w:tblW w:w="0" w:type="auto"/>
        <w:tblInd w:w="-289" w:type="dxa"/>
        <w:tblLook w:val="04A0"/>
      </w:tblPrEx>
      <w:trPr>
        <w:trHeight w:val="293"/>
      </w:trPr>
      <w:tc>
        <w:tcPr>
          <w:tcW w:w="1980" w:type="dxa"/>
          <w:vMerge w:val="restart"/>
          <w:vAlign w:val="center"/>
        </w:tcPr>
        <w:p w:rsidR="0034040F" w:rsidP="0034040F">
          <w:pPr>
            <w:pStyle w:val="Header"/>
            <w:jc w:val="center"/>
          </w:pPr>
          <w:r>
            <w:rPr>
              <w:noProof/>
              <w:lang w:eastAsia="tr-TR"/>
            </w:rPr>
            <w:drawing>
              <wp:inline distT="0" distB="0" distL="0" distR="0">
                <wp:extent cx="937260" cy="4241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ludağ enerji.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63073" cy="435842"/>
                        </a:xfrm>
                        <a:prstGeom prst="rect">
                          <a:avLst/>
                        </a:prstGeom>
                      </pic:spPr>
                    </pic:pic>
                  </a:graphicData>
                </a:graphic>
              </wp:inline>
            </w:drawing>
          </w:r>
        </w:p>
      </w:tc>
      <w:tc>
        <w:tcPr>
          <w:tcW w:w="5718" w:type="dxa"/>
          <w:vMerge w:val="restart"/>
          <w:vAlign w:val="center"/>
        </w:tcPr>
        <w:p w:rsidR="0034040F" w:rsidP="0034040F">
          <w:pPr>
            <w:pStyle w:val="Header"/>
            <w:jc w:val="center"/>
          </w:pPr>
          <w:r w:rsidRPr="00C56E1D">
            <w:rPr>
              <w:rFonts w:cstheme="minorHAnsi"/>
              <w:b/>
              <w:sz w:val="36"/>
              <w:szCs w:val="36"/>
            </w:rPr>
            <w:t>SUÇ GELİRLERİNİN AKLANMASININ VE TERÖR İLE KİTLE İMHA SİLAHLARININ YAYILMASININ FİNANSMANININ ÖNLENMESİ POLİTİKASI</w:t>
          </w:r>
        </w:p>
      </w:tc>
      <w:tc>
        <w:tcPr>
          <w:tcW w:w="1017" w:type="dxa"/>
          <w:vAlign w:val="center"/>
        </w:tcPr>
        <w:p w:rsidR="0034040F" w:rsidP="0034040F">
          <w:pPr>
            <w:pStyle w:val="Header"/>
            <w:jc w:val="center"/>
          </w:pPr>
          <w:r w:rsidRPr="008F2E72">
            <w:rPr>
              <w:rFonts w:cstheme="minorHAnsi"/>
              <w:b/>
              <w:sz w:val="16"/>
              <w:szCs w:val="16"/>
            </w:rPr>
            <w:t>Dok.Kodu</w:t>
          </w:r>
        </w:p>
      </w:tc>
      <w:tc>
        <w:tcPr>
          <w:tcW w:w="1480" w:type="dxa"/>
          <w:vAlign w:val="center"/>
        </w:tcPr>
        <w:p w:rsidR="0034040F" w:rsidP="0034040F">
          <w:pPr>
            <w:pStyle w:val="Header"/>
            <w:jc w:val="both"/>
          </w:pPr>
          <w:r w:rsidRPr="008F2E72">
            <w:rPr>
              <w:rFonts w:cstheme="minorHAnsi"/>
              <w:b/>
              <w:sz w:val="16"/>
              <w:szCs w:val="16"/>
            </w:rPr>
            <w:t>POL.014</w:t>
          </w:r>
        </w:p>
      </w:tc>
    </w:tr>
    <w:tr w:rsidTr="008E36F9">
      <w:tblPrEx>
        <w:tblW w:w="0" w:type="auto"/>
        <w:tblInd w:w="-289" w:type="dxa"/>
        <w:tblLook w:val="04A0"/>
      </w:tblPrEx>
      <w:trPr>
        <w:trHeight w:val="293"/>
      </w:trPr>
      <w:tc>
        <w:tcPr>
          <w:tcW w:w="1980" w:type="dxa"/>
          <w:vMerge/>
        </w:tcPr>
        <w:p w:rsidR="0034040F" w:rsidP="0034040F">
          <w:pPr>
            <w:pStyle w:val="Header"/>
          </w:pPr>
        </w:p>
      </w:tc>
      <w:tc>
        <w:tcPr>
          <w:tcW w:w="5718" w:type="dxa"/>
          <w:vMerge/>
        </w:tcPr>
        <w:p w:rsidR="0034040F" w:rsidP="0034040F">
          <w:pPr>
            <w:pStyle w:val="Header"/>
          </w:pPr>
        </w:p>
      </w:tc>
      <w:tc>
        <w:tcPr>
          <w:tcW w:w="1017" w:type="dxa"/>
          <w:vAlign w:val="center"/>
        </w:tcPr>
        <w:p w:rsidR="0034040F" w:rsidRPr="008F2E72" w:rsidP="0034040F">
          <w:pPr>
            <w:pStyle w:val="Header"/>
            <w:spacing w:line="360" w:lineRule="auto"/>
            <w:jc w:val="center"/>
            <w:rPr>
              <w:rFonts w:cstheme="minorHAnsi"/>
              <w:b/>
              <w:sz w:val="16"/>
              <w:szCs w:val="16"/>
            </w:rPr>
          </w:pPr>
          <w:r w:rsidRPr="008F2E72">
            <w:rPr>
              <w:rFonts w:cstheme="minorHAnsi"/>
              <w:b/>
              <w:sz w:val="16"/>
              <w:szCs w:val="16"/>
            </w:rPr>
            <w:t>Yayın Tar.</w:t>
          </w:r>
        </w:p>
      </w:tc>
      <w:tc>
        <w:tcPr>
          <w:tcW w:w="1480" w:type="dxa"/>
          <w:vAlign w:val="center"/>
        </w:tcPr>
        <w:p w:rsidR="0034040F" w:rsidP="0034040F">
          <w:pPr>
            <w:pStyle w:val="Header"/>
            <w:jc w:val="both"/>
          </w:pPr>
          <w:r w:rsidRPr="008F2E72">
            <w:rPr>
              <w:rFonts w:cstheme="minorHAnsi"/>
              <w:b/>
              <w:sz w:val="16"/>
              <w:szCs w:val="16"/>
            </w:rPr>
            <w:t>9.09.2024</w:t>
          </w:r>
        </w:p>
      </w:tc>
    </w:tr>
    <w:tr w:rsidTr="008E36F9">
      <w:tblPrEx>
        <w:tblW w:w="0" w:type="auto"/>
        <w:tblInd w:w="-289" w:type="dxa"/>
        <w:tblLook w:val="04A0"/>
      </w:tblPrEx>
      <w:trPr>
        <w:trHeight w:val="293"/>
      </w:trPr>
      <w:tc>
        <w:tcPr>
          <w:tcW w:w="1980" w:type="dxa"/>
          <w:vMerge/>
        </w:tcPr>
        <w:p w:rsidR="0034040F" w:rsidP="0034040F">
          <w:pPr>
            <w:pStyle w:val="Header"/>
          </w:pPr>
        </w:p>
      </w:tc>
      <w:tc>
        <w:tcPr>
          <w:tcW w:w="5718" w:type="dxa"/>
          <w:vMerge/>
        </w:tcPr>
        <w:p w:rsidR="0034040F" w:rsidP="0034040F">
          <w:pPr>
            <w:pStyle w:val="Header"/>
          </w:pPr>
        </w:p>
      </w:tc>
      <w:tc>
        <w:tcPr>
          <w:tcW w:w="1017" w:type="dxa"/>
          <w:vAlign w:val="center"/>
        </w:tcPr>
        <w:p w:rsidR="0034040F" w:rsidP="0034040F">
          <w:pPr>
            <w:pStyle w:val="Header"/>
            <w:jc w:val="center"/>
          </w:pPr>
          <w:r w:rsidRPr="008F2E72">
            <w:rPr>
              <w:rFonts w:cstheme="minorHAnsi"/>
              <w:b/>
              <w:sz w:val="16"/>
              <w:szCs w:val="16"/>
            </w:rPr>
            <w:t>Rev.Tar.</w:t>
          </w:r>
        </w:p>
      </w:tc>
      <w:tc>
        <w:tcPr>
          <w:tcW w:w="1480" w:type="dxa"/>
          <w:vAlign w:val="center"/>
        </w:tcPr>
        <w:p w:rsidR="0034040F" w:rsidP="0034040F">
          <w:pPr>
            <w:pStyle w:val="Header"/>
            <w:jc w:val="both"/>
          </w:pPr>
          <w:r w:rsidRPr="008F2E72">
            <w:rPr>
              <w:rFonts w:cstheme="minorHAnsi"/>
              <w:b/>
              <w:sz w:val="16"/>
              <w:szCs w:val="16"/>
            </w:rPr>
            <w:t>9.09.2024</w:t>
          </w:r>
        </w:p>
      </w:tc>
    </w:tr>
    <w:tr w:rsidTr="008E36F9">
      <w:tblPrEx>
        <w:tblW w:w="0" w:type="auto"/>
        <w:tblInd w:w="-289" w:type="dxa"/>
        <w:tblLook w:val="04A0"/>
      </w:tblPrEx>
      <w:trPr>
        <w:trHeight w:val="293"/>
      </w:trPr>
      <w:tc>
        <w:tcPr>
          <w:tcW w:w="1980" w:type="dxa"/>
          <w:vMerge/>
        </w:tcPr>
        <w:p w:rsidR="0034040F" w:rsidP="0034040F">
          <w:pPr>
            <w:pStyle w:val="Header"/>
          </w:pPr>
        </w:p>
      </w:tc>
      <w:tc>
        <w:tcPr>
          <w:tcW w:w="5718" w:type="dxa"/>
          <w:vMerge/>
        </w:tcPr>
        <w:p w:rsidR="0034040F" w:rsidP="0034040F">
          <w:pPr>
            <w:pStyle w:val="Header"/>
          </w:pPr>
        </w:p>
      </w:tc>
      <w:tc>
        <w:tcPr>
          <w:tcW w:w="1017" w:type="dxa"/>
          <w:vAlign w:val="center"/>
        </w:tcPr>
        <w:p w:rsidR="0034040F" w:rsidP="0034040F">
          <w:pPr>
            <w:pStyle w:val="Header"/>
            <w:jc w:val="center"/>
          </w:pPr>
          <w:r w:rsidRPr="008F2E72">
            <w:rPr>
              <w:rFonts w:cstheme="minorHAnsi"/>
              <w:b/>
              <w:sz w:val="16"/>
              <w:szCs w:val="16"/>
            </w:rPr>
            <w:t>Rev.No.</w:t>
          </w:r>
        </w:p>
      </w:tc>
      <w:tc>
        <w:tcPr>
          <w:tcW w:w="1480" w:type="dxa"/>
          <w:vAlign w:val="center"/>
        </w:tcPr>
        <w:p w:rsidR="0034040F" w:rsidP="0034040F">
          <w:pPr>
            <w:pStyle w:val="Header"/>
            <w:jc w:val="both"/>
          </w:pPr>
          <w:r w:rsidRPr="008F2E72">
            <w:rPr>
              <w:rFonts w:cstheme="minorHAnsi"/>
              <w:b/>
              <w:sz w:val="16"/>
              <w:szCs w:val="16"/>
            </w:rPr>
            <w:t>0</w:t>
          </w:r>
        </w:p>
      </w:tc>
    </w:tr>
  </w:tbl>
  <w:p w:rsidR="00F215FA" w:rsidRPr="0034040F" w:rsidP="00340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334A0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D244A3"/>
    <w:multiLevelType w:val="hybridMultilevel"/>
    <w:tmpl w:val="FE64C702"/>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DF4B34"/>
    <w:multiLevelType w:val="hybridMultilevel"/>
    <w:tmpl w:val="6D2E138A"/>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B5361D"/>
    <w:multiLevelType w:val="hybridMultilevel"/>
    <w:tmpl w:val="FAD46102"/>
    <w:lvl w:ilvl="0">
      <w:start w:val="1"/>
      <w:numFmt w:val="decimal"/>
      <w:lvlText w:val="%1."/>
      <w:lvlJc w:val="left"/>
      <w:pPr>
        <w:ind w:left="792" w:hanging="360"/>
      </w:p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4">
    <w:nsid w:val="1482775B"/>
    <w:multiLevelType w:val="multilevel"/>
    <w:tmpl w:val="9D9E21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281575E"/>
    <w:multiLevelType w:val="hybridMultilevel"/>
    <w:tmpl w:val="F0382E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CE0960"/>
    <w:multiLevelType w:val="hybridMultilevel"/>
    <w:tmpl w:val="D4683BAA"/>
    <w:lvl w:ilvl="0">
      <w:start w:val="1"/>
      <w:numFmt w:val="bullet"/>
      <w:lvlText w:val=""/>
      <w:lvlJc w:val="left"/>
      <w:pPr>
        <w:ind w:left="1428" w:hanging="360"/>
      </w:pPr>
      <w:rPr>
        <w:rFonts w:ascii="Symbol" w:eastAsia="Times New Roman" w:hAnsi="Symbol" w:cstheme="minorHAnsi"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7">
    <w:nsid w:val="2CCB35B6"/>
    <w:multiLevelType w:val="hybridMultilevel"/>
    <w:tmpl w:val="22B85FCC"/>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59D7CA0"/>
    <w:multiLevelType w:val="hybridMultilevel"/>
    <w:tmpl w:val="C22EFC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BE1F05"/>
    <w:multiLevelType w:val="hybridMultilevel"/>
    <w:tmpl w:val="6740682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D3401C"/>
    <w:multiLevelType w:val="hybridMultilevel"/>
    <w:tmpl w:val="7AD47B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F387DB9"/>
    <w:multiLevelType w:val="multilevel"/>
    <w:tmpl w:val="9AD66B92"/>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nsid w:val="3FCC25EB"/>
    <w:multiLevelType w:val="hybridMultilevel"/>
    <w:tmpl w:val="E30E4C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5767E5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67D6355"/>
    <w:multiLevelType w:val="hybridMultilevel"/>
    <w:tmpl w:val="F94693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A10136F"/>
    <w:multiLevelType w:val="multilevel"/>
    <w:tmpl w:val="4F805A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4B9A19C3"/>
    <w:multiLevelType w:val="multilevel"/>
    <w:tmpl w:val="D592E8D2"/>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nsid w:val="4BDF0100"/>
    <w:multiLevelType w:val="hybridMultilevel"/>
    <w:tmpl w:val="32F2FF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05510A6"/>
    <w:multiLevelType w:val="hybridMultilevel"/>
    <w:tmpl w:val="BF689B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E245DAF"/>
    <w:multiLevelType w:val="hybridMultilevel"/>
    <w:tmpl w:val="BD5E5B4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B877274"/>
    <w:multiLevelType w:val="hybridMultilevel"/>
    <w:tmpl w:val="5E72C3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DC734CE"/>
    <w:multiLevelType w:val="hybridMultilevel"/>
    <w:tmpl w:val="3656F3F6"/>
    <w:lvl w:ilvl="0">
      <w:start w:val="1"/>
      <w:numFmt w:val="decimal"/>
      <w:lvlText w:val="%1."/>
      <w:lvlJc w:val="left"/>
      <w:pPr>
        <w:ind w:left="792" w:hanging="360"/>
      </w:p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2">
    <w:nsid w:val="6F6C47B6"/>
    <w:multiLevelType w:val="hybridMultilevel"/>
    <w:tmpl w:val="C48EFFC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0151E15"/>
    <w:multiLevelType w:val="hybridMultilevel"/>
    <w:tmpl w:val="7D8AA6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2DA5562"/>
    <w:multiLevelType w:val="hybridMultilevel"/>
    <w:tmpl w:val="B2142828"/>
    <w:lvl w:ilvl="0">
      <w:start w:val="3"/>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38C1F0A"/>
    <w:multiLevelType w:val="hybridMultilevel"/>
    <w:tmpl w:val="CC9AC1DA"/>
    <w:lvl w:ilvl="0">
      <w:start w:val="1"/>
      <w:numFmt w:val="bullet"/>
      <w:lvlText w:val=""/>
      <w:lvlJc w:val="left"/>
      <w:pPr>
        <w:ind w:left="1512" w:hanging="360"/>
      </w:pPr>
      <w:rPr>
        <w:rFonts w:ascii="Wingdings" w:hAnsi="Wingdings"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26">
    <w:nsid w:val="74814CCF"/>
    <w:multiLevelType w:val="hybridMultilevel"/>
    <w:tmpl w:val="E3FCC6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5940E16"/>
    <w:multiLevelType w:val="hybridMultilevel"/>
    <w:tmpl w:val="E4BA5092"/>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59E0882"/>
    <w:multiLevelType w:val="hybridMultilevel"/>
    <w:tmpl w:val="3096697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5E809C6"/>
    <w:multiLevelType w:val="hybridMultilevel"/>
    <w:tmpl w:val="8F785B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DFA25AD"/>
    <w:multiLevelType w:val="hybridMultilevel"/>
    <w:tmpl w:val="942613DA"/>
    <w:lvl w:ilvl="0">
      <w:start w:val="2"/>
      <w:numFmt w:val="bullet"/>
      <w:lvlText w:val="-"/>
      <w:lvlJc w:val="left"/>
      <w:pPr>
        <w:ind w:left="1428" w:hanging="360"/>
      </w:pPr>
      <w:rPr>
        <w:rFonts w:ascii="Calibri" w:eastAsia="Times New Roman" w:hAnsi="Calibri" w:cs="Calibri"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num w:numId="1">
    <w:abstractNumId w:val="4"/>
  </w:num>
  <w:num w:numId="2">
    <w:abstractNumId w:val="4"/>
  </w:num>
  <w:num w:numId="3">
    <w:abstractNumId w:val="0"/>
  </w:num>
  <w:num w:numId="4">
    <w:abstractNumId w:val="13"/>
  </w:num>
  <w:num w:numId="5">
    <w:abstractNumId w:val="20"/>
  </w:num>
  <w:num w:numId="6">
    <w:abstractNumId w:val="12"/>
  </w:num>
  <w:num w:numId="7">
    <w:abstractNumId w:val="29"/>
  </w:num>
  <w:num w:numId="8">
    <w:abstractNumId w:val="10"/>
  </w:num>
  <w:num w:numId="9">
    <w:abstractNumId w:val="17"/>
  </w:num>
  <w:num w:numId="10">
    <w:abstractNumId w:val="5"/>
  </w:num>
  <w:num w:numId="11">
    <w:abstractNumId w:val="23"/>
  </w:num>
  <w:num w:numId="12">
    <w:abstractNumId w:val="26"/>
  </w:num>
  <w:num w:numId="13">
    <w:abstractNumId w:val="21"/>
  </w:num>
  <w:num w:numId="14">
    <w:abstractNumId w:val="3"/>
  </w:num>
  <w:num w:numId="15">
    <w:abstractNumId w:val="25"/>
  </w:num>
  <w:num w:numId="16">
    <w:abstractNumId w:val="18"/>
  </w:num>
  <w:num w:numId="17">
    <w:abstractNumId w:val="4"/>
  </w:num>
  <w:num w:numId="18">
    <w:abstractNumId w:val="4"/>
  </w:num>
  <w:num w:numId="19">
    <w:abstractNumId w:val="2"/>
  </w:num>
  <w:num w:numId="20">
    <w:abstractNumId w:val="11"/>
  </w:num>
  <w:num w:numId="21">
    <w:abstractNumId w:val="6"/>
  </w:num>
  <w:num w:numId="22">
    <w:abstractNumId w:val="30"/>
  </w:num>
  <w:num w:numId="23">
    <w:abstractNumId w:val="8"/>
  </w:num>
  <w:num w:numId="24">
    <w:abstractNumId w:val="19"/>
  </w:num>
  <w:num w:numId="25">
    <w:abstractNumId w:val="9"/>
  </w:num>
  <w:num w:numId="26">
    <w:abstractNumId w:val="14"/>
  </w:num>
  <w:num w:numId="27">
    <w:abstractNumId w:val="22"/>
  </w:num>
  <w:num w:numId="28">
    <w:abstractNumId w:val="28"/>
  </w:num>
  <w:num w:numId="29">
    <w:abstractNumId w:val="4"/>
  </w:num>
  <w:num w:numId="30">
    <w:abstractNumId w:val="15"/>
  </w:num>
  <w:num w:numId="31">
    <w:abstractNumId w:val="4"/>
  </w:num>
  <w:num w:numId="32">
    <w:abstractNumId w:val="24"/>
  </w:num>
  <w:num w:numId="33">
    <w:abstractNumId w:val="4"/>
  </w:num>
  <w:num w:numId="34">
    <w:abstractNumId w:val="4"/>
  </w:num>
  <w:num w:numId="35">
    <w:abstractNumId w:val="7"/>
  </w:num>
  <w:num w:numId="36">
    <w:abstractNumId w:val="16"/>
  </w:num>
  <w:num w:numId="37">
    <w:abstractNumId w:val="4"/>
  </w:num>
  <w:num w:numId="38">
    <w:abstractNumId w:val="27"/>
  </w:num>
  <w:num w:numId="39">
    <w:abstractNumId w:val="4"/>
  </w:num>
  <w:num w:numId="40">
    <w:abstractNumId w:val="4"/>
  </w:num>
  <w:num w:numId="41">
    <w:abstractNumId w:val="1"/>
  </w:num>
  <w:num w:numId="42">
    <w:abstractNumId w:val="4"/>
  </w:num>
  <w:num w:numId="43">
    <w:abstractNumId w:val="4"/>
  </w:num>
  <w:num w:numId="44">
    <w:abstractNumId w:val="4"/>
  </w:num>
  <w:num w:numId="4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forms" w:enforcement="1" w:cryptProviderType="rsaFull" w:cryptAlgorithmClass="hash" w:cryptAlgorithmType="typeAny" w:cryptAlgorithmSid="4" w:cryptSpinCount="50000" w:hash="4rMK2BYy3F+8E8wOS3lANTSiKhI=&#10;" w:salt="hIqOl99kIr/+N0hyovEq7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DD"/>
    <w:rsid w:val="00001F64"/>
    <w:rsid w:val="000158F1"/>
    <w:rsid w:val="00016899"/>
    <w:rsid w:val="00016E0E"/>
    <w:rsid w:val="00025290"/>
    <w:rsid w:val="00060B99"/>
    <w:rsid w:val="00081381"/>
    <w:rsid w:val="00097E88"/>
    <w:rsid w:val="000A2924"/>
    <w:rsid w:val="000B6757"/>
    <w:rsid w:val="000C3E94"/>
    <w:rsid w:val="000F2B63"/>
    <w:rsid w:val="00104179"/>
    <w:rsid w:val="0010590F"/>
    <w:rsid w:val="001108DD"/>
    <w:rsid w:val="0011645C"/>
    <w:rsid w:val="0012322F"/>
    <w:rsid w:val="00127DEF"/>
    <w:rsid w:val="00152A6E"/>
    <w:rsid w:val="001617EC"/>
    <w:rsid w:val="001638BE"/>
    <w:rsid w:val="00183E75"/>
    <w:rsid w:val="00186958"/>
    <w:rsid w:val="00193F47"/>
    <w:rsid w:val="00194652"/>
    <w:rsid w:val="001C0C6A"/>
    <w:rsid w:val="001C4BDD"/>
    <w:rsid w:val="001D2F1A"/>
    <w:rsid w:val="001D509B"/>
    <w:rsid w:val="001E2B3B"/>
    <w:rsid w:val="001E45ED"/>
    <w:rsid w:val="001F3AB3"/>
    <w:rsid w:val="001F3C56"/>
    <w:rsid w:val="00203F5E"/>
    <w:rsid w:val="00217813"/>
    <w:rsid w:val="00226D26"/>
    <w:rsid w:val="002320DA"/>
    <w:rsid w:val="00234D2A"/>
    <w:rsid w:val="00237235"/>
    <w:rsid w:val="00241398"/>
    <w:rsid w:val="0024213E"/>
    <w:rsid w:val="00272B07"/>
    <w:rsid w:val="00277728"/>
    <w:rsid w:val="00287236"/>
    <w:rsid w:val="00292234"/>
    <w:rsid w:val="002A58C6"/>
    <w:rsid w:val="002B4AF7"/>
    <w:rsid w:val="002C57DB"/>
    <w:rsid w:val="002C7165"/>
    <w:rsid w:val="002C77EB"/>
    <w:rsid w:val="002D0D47"/>
    <w:rsid w:val="003035D0"/>
    <w:rsid w:val="0031192F"/>
    <w:rsid w:val="003144F9"/>
    <w:rsid w:val="00317B29"/>
    <w:rsid w:val="003241F1"/>
    <w:rsid w:val="0034040F"/>
    <w:rsid w:val="0035588F"/>
    <w:rsid w:val="003600D6"/>
    <w:rsid w:val="00364628"/>
    <w:rsid w:val="00382990"/>
    <w:rsid w:val="00387C98"/>
    <w:rsid w:val="003A4461"/>
    <w:rsid w:val="003A6E97"/>
    <w:rsid w:val="003B58FF"/>
    <w:rsid w:val="003D493B"/>
    <w:rsid w:val="003E077F"/>
    <w:rsid w:val="003E2D18"/>
    <w:rsid w:val="003F3A44"/>
    <w:rsid w:val="00403241"/>
    <w:rsid w:val="004109DB"/>
    <w:rsid w:val="0041341E"/>
    <w:rsid w:val="00424DC9"/>
    <w:rsid w:val="00446C83"/>
    <w:rsid w:val="00460A27"/>
    <w:rsid w:val="0046536D"/>
    <w:rsid w:val="00467E8A"/>
    <w:rsid w:val="00471EB4"/>
    <w:rsid w:val="0047217E"/>
    <w:rsid w:val="0047740D"/>
    <w:rsid w:val="0048588A"/>
    <w:rsid w:val="00491E81"/>
    <w:rsid w:val="004A41FE"/>
    <w:rsid w:val="004B41AC"/>
    <w:rsid w:val="004C26BF"/>
    <w:rsid w:val="004D057C"/>
    <w:rsid w:val="004D161B"/>
    <w:rsid w:val="004D5B0F"/>
    <w:rsid w:val="004E0764"/>
    <w:rsid w:val="004E149A"/>
    <w:rsid w:val="00511AA7"/>
    <w:rsid w:val="00517972"/>
    <w:rsid w:val="00521320"/>
    <w:rsid w:val="00534D66"/>
    <w:rsid w:val="005459CB"/>
    <w:rsid w:val="00555BB1"/>
    <w:rsid w:val="00564231"/>
    <w:rsid w:val="0058062F"/>
    <w:rsid w:val="005927ED"/>
    <w:rsid w:val="00594D4B"/>
    <w:rsid w:val="005A7F79"/>
    <w:rsid w:val="005B60E5"/>
    <w:rsid w:val="005C5EA6"/>
    <w:rsid w:val="005C7463"/>
    <w:rsid w:val="005D2FFB"/>
    <w:rsid w:val="005D45B4"/>
    <w:rsid w:val="005E2BC0"/>
    <w:rsid w:val="005E37CD"/>
    <w:rsid w:val="0061016D"/>
    <w:rsid w:val="00655178"/>
    <w:rsid w:val="00655D45"/>
    <w:rsid w:val="00655E57"/>
    <w:rsid w:val="00666949"/>
    <w:rsid w:val="00671468"/>
    <w:rsid w:val="00683A66"/>
    <w:rsid w:val="006869E2"/>
    <w:rsid w:val="006870A0"/>
    <w:rsid w:val="00690673"/>
    <w:rsid w:val="00693971"/>
    <w:rsid w:val="00694FA6"/>
    <w:rsid w:val="006A3BEA"/>
    <w:rsid w:val="006A47BC"/>
    <w:rsid w:val="006B572A"/>
    <w:rsid w:val="006C1925"/>
    <w:rsid w:val="006C2696"/>
    <w:rsid w:val="006C54C7"/>
    <w:rsid w:val="006C78C8"/>
    <w:rsid w:val="006D10A3"/>
    <w:rsid w:val="006D1C54"/>
    <w:rsid w:val="006D4F11"/>
    <w:rsid w:val="006E18DD"/>
    <w:rsid w:val="006F00D4"/>
    <w:rsid w:val="006F24E0"/>
    <w:rsid w:val="006F7C9D"/>
    <w:rsid w:val="0070040C"/>
    <w:rsid w:val="007033C9"/>
    <w:rsid w:val="00714B52"/>
    <w:rsid w:val="00716E5A"/>
    <w:rsid w:val="007454F8"/>
    <w:rsid w:val="007460A3"/>
    <w:rsid w:val="00747BF1"/>
    <w:rsid w:val="00751EBC"/>
    <w:rsid w:val="00762F7A"/>
    <w:rsid w:val="007957BC"/>
    <w:rsid w:val="007A4D9D"/>
    <w:rsid w:val="007A56BD"/>
    <w:rsid w:val="007B116A"/>
    <w:rsid w:val="007B11A7"/>
    <w:rsid w:val="007B5C0B"/>
    <w:rsid w:val="007C254C"/>
    <w:rsid w:val="007D31AE"/>
    <w:rsid w:val="007D3BA7"/>
    <w:rsid w:val="007D7909"/>
    <w:rsid w:val="007F36E3"/>
    <w:rsid w:val="00807003"/>
    <w:rsid w:val="008269F9"/>
    <w:rsid w:val="00834613"/>
    <w:rsid w:val="00870F11"/>
    <w:rsid w:val="00871A47"/>
    <w:rsid w:val="00876DED"/>
    <w:rsid w:val="00880F58"/>
    <w:rsid w:val="00884944"/>
    <w:rsid w:val="008A0800"/>
    <w:rsid w:val="008A20B5"/>
    <w:rsid w:val="008B791C"/>
    <w:rsid w:val="008C6479"/>
    <w:rsid w:val="008C6D9F"/>
    <w:rsid w:val="008D7E33"/>
    <w:rsid w:val="008E6DEA"/>
    <w:rsid w:val="008F0A99"/>
    <w:rsid w:val="008F2E72"/>
    <w:rsid w:val="008F6263"/>
    <w:rsid w:val="00901000"/>
    <w:rsid w:val="00906E8A"/>
    <w:rsid w:val="00927719"/>
    <w:rsid w:val="00946353"/>
    <w:rsid w:val="00946F18"/>
    <w:rsid w:val="00967CDE"/>
    <w:rsid w:val="00970BEB"/>
    <w:rsid w:val="00972011"/>
    <w:rsid w:val="00982F3C"/>
    <w:rsid w:val="00984F58"/>
    <w:rsid w:val="0099053D"/>
    <w:rsid w:val="009922D6"/>
    <w:rsid w:val="009937CC"/>
    <w:rsid w:val="00993FBA"/>
    <w:rsid w:val="00996783"/>
    <w:rsid w:val="009A029B"/>
    <w:rsid w:val="009C5E9C"/>
    <w:rsid w:val="009D3B57"/>
    <w:rsid w:val="009E6317"/>
    <w:rsid w:val="009F4CBC"/>
    <w:rsid w:val="00A064F4"/>
    <w:rsid w:val="00A0667C"/>
    <w:rsid w:val="00A201A7"/>
    <w:rsid w:val="00A301D2"/>
    <w:rsid w:val="00A41F1E"/>
    <w:rsid w:val="00A62639"/>
    <w:rsid w:val="00A64A77"/>
    <w:rsid w:val="00A91195"/>
    <w:rsid w:val="00A92ED0"/>
    <w:rsid w:val="00A93B60"/>
    <w:rsid w:val="00A94321"/>
    <w:rsid w:val="00AA1324"/>
    <w:rsid w:val="00AA22C3"/>
    <w:rsid w:val="00AB1C63"/>
    <w:rsid w:val="00AB541B"/>
    <w:rsid w:val="00AC571D"/>
    <w:rsid w:val="00AE033C"/>
    <w:rsid w:val="00AF3052"/>
    <w:rsid w:val="00B00984"/>
    <w:rsid w:val="00B05B31"/>
    <w:rsid w:val="00B10036"/>
    <w:rsid w:val="00B37C5E"/>
    <w:rsid w:val="00B4454E"/>
    <w:rsid w:val="00B46827"/>
    <w:rsid w:val="00B502C9"/>
    <w:rsid w:val="00B64666"/>
    <w:rsid w:val="00B67094"/>
    <w:rsid w:val="00B676EA"/>
    <w:rsid w:val="00B740DD"/>
    <w:rsid w:val="00B741E8"/>
    <w:rsid w:val="00B775DF"/>
    <w:rsid w:val="00B8124A"/>
    <w:rsid w:val="00B86443"/>
    <w:rsid w:val="00BB0EA9"/>
    <w:rsid w:val="00BB54A4"/>
    <w:rsid w:val="00BC2489"/>
    <w:rsid w:val="00BC7C2D"/>
    <w:rsid w:val="00BD78D5"/>
    <w:rsid w:val="00BF51B7"/>
    <w:rsid w:val="00C04230"/>
    <w:rsid w:val="00C13F69"/>
    <w:rsid w:val="00C16EC7"/>
    <w:rsid w:val="00C21F3B"/>
    <w:rsid w:val="00C22EF5"/>
    <w:rsid w:val="00C24B6F"/>
    <w:rsid w:val="00C26675"/>
    <w:rsid w:val="00C532DC"/>
    <w:rsid w:val="00C56E1D"/>
    <w:rsid w:val="00C624D1"/>
    <w:rsid w:val="00C6625C"/>
    <w:rsid w:val="00C66F23"/>
    <w:rsid w:val="00C70080"/>
    <w:rsid w:val="00C71DB1"/>
    <w:rsid w:val="00C80EB0"/>
    <w:rsid w:val="00C8496E"/>
    <w:rsid w:val="00C85164"/>
    <w:rsid w:val="00C9048B"/>
    <w:rsid w:val="00C9411A"/>
    <w:rsid w:val="00CA3A42"/>
    <w:rsid w:val="00CA3E1F"/>
    <w:rsid w:val="00CA483B"/>
    <w:rsid w:val="00CC0AFE"/>
    <w:rsid w:val="00CC56AE"/>
    <w:rsid w:val="00CE19C5"/>
    <w:rsid w:val="00CE5B98"/>
    <w:rsid w:val="00CF7061"/>
    <w:rsid w:val="00D240FD"/>
    <w:rsid w:val="00D5741D"/>
    <w:rsid w:val="00D64E6F"/>
    <w:rsid w:val="00D66DDB"/>
    <w:rsid w:val="00D73B3D"/>
    <w:rsid w:val="00D80EAD"/>
    <w:rsid w:val="00D853BB"/>
    <w:rsid w:val="00D92520"/>
    <w:rsid w:val="00DA54B9"/>
    <w:rsid w:val="00DB516B"/>
    <w:rsid w:val="00DB7B84"/>
    <w:rsid w:val="00DC1724"/>
    <w:rsid w:val="00DD2F57"/>
    <w:rsid w:val="00DE15B2"/>
    <w:rsid w:val="00DE3060"/>
    <w:rsid w:val="00DF621F"/>
    <w:rsid w:val="00E07FCE"/>
    <w:rsid w:val="00E174BF"/>
    <w:rsid w:val="00E22D3A"/>
    <w:rsid w:val="00E368AA"/>
    <w:rsid w:val="00E426C6"/>
    <w:rsid w:val="00E442EF"/>
    <w:rsid w:val="00E609B8"/>
    <w:rsid w:val="00E66780"/>
    <w:rsid w:val="00EA581C"/>
    <w:rsid w:val="00EB0A63"/>
    <w:rsid w:val="00EC2C42"/>
    <w:rsid w:val="00ED4013"/>
    <w:rsid w:val="00ED7FD9"/>
    <w:rsid w:val="00EF4FF9"/>
    <w:rsid w:val="00F07E64"/>
    <w:rsid w:val="00F10F63"/>
    <w:rsid w:val="00F215FA"/>
    <w:rsid w:val="00F36550"/>
    <w:rsid w:val="00F56E67"/>
    <w:rsid w:val="00F70D47"/>
    <w:rsid w:val="00F741FA"/>
    <w:rsid w:val="00F773A5"/>
    <w:rsid w:val="00F77D66"/>
    <w:rsid w:val="00F80AFD"/>
    <w:rsid w:val="00F841C6"/>
    <w:rsid w:val="00F911E7"/>
    <w:rsid w:val="00F93D9F"/>
    <w:rsid w:val="00FA3A01"/>
    <w:rsid w:val="00FB2F61"/>
    <w:rsid w:val="00FB5174"/>
    <w:rsid w:val="00FC33F8"/>
    <w:rsid w:val="00FD3F08"/>
    <w:rsid w:val="00FE18AB"/>
    <w:rsid w:val="00FE3681"/>
    <w:rsid w:val="00FE3CA1"/>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5423C8F2"/>
  <w15:docId w15:val="{B558D5FD-F085-419B-BFB2-C39A04B5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317"/>
  </w:style>
  <w:style w:type="paragraph" w:styleId="Heading1">
    <w:name w:val="heading 1"/>
    <w:basedOn w:val="Normal"/>
    <w:next w:val="Normal"/>
    <w:link w:val="Balk1Char"/>
    <w:uiPriority w:val="9"/>
    <w:qFormat/>
    <w:rsid w:val="004109DB"/>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Balk2Char"/>
    <w:uiPriority w:val="9"/>
    <w:unhideWhenUsed/>
    <w:qFormat/>
    <w:rsid w:val="00E442EF"/>
    <w:pPr>
      <w:keepNext/>
      <w:keepLines/>
      <w:numPr>
        <w:ilvl w:val="1"/>
        <w:numId w:val="2"/>
      </w:numPr>
      <w:spacing w:before="360" w:after="0" w:line="480" w:lineRule="auto"/>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Balk3Char"/>
    <w:uiPriority w:val="9"/>
    <w:unhideWhenUsed/>
    <w:qFormat/>
    <w:rsid w:val="0012322F"/>
    <w:pPr>
      <w:keepNext/>
      <w:keepLines/>
      <w:numPr>
        <w:ilvl w:val="2"/>
        <w:numId w:val="2"/>
      </w:numPr>
      <w:spacing w:before="200" w:after="0" w:line="480" w:lineRule="auto"/>
      <w:outlineLvl w:val="2"/>
    </w:pPr>
    <w:rPr>
      <w:rFonts w:asciiTheme="majorHAnsi" w:eastAsiaTheme="majorEastAsia" w:hAnsiTheme="majorHAnsi" w:cstheme="majorBidi"/>
      <w:b/>
      <w:bCs/>
      <w:smallCaps/>
      <w:color w:val="000000" w:themeColor="text1"/>
    </w:rPr>
  </w:style>
  <w:style w:type="paragraph" w:styleId="Heading4">
    <w:name w:val="heading 4"/>
    <w:basedOn w:val="Normal"/>
    <w:next w:val="Normal"/>
    <w:link w:val="Balk4Char"/>
    <w:uiPriority w:val="9"/>
    <w:unhideWhenUsed/>
    <w:qFormat/>
    <w:rsid w:val="004109DB"/>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Balk5Char"/>
    <w:uiPriority w:val="9"/>
    <w:semiHidden/>
    <w:unhideWhenUsed/>
    <w:qFormat/>
    <w:rsid w:val="004109DB"/>
    <w:pPr>
      <w:keepNext/>
      <w:keepLines/>
      <w:numPr>
        <w:ilvl w:val="4"/>
        <w:numId w:val="2"/>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Balk6Char"/>
    <w:uiPriority w:val="9"/>
    <w:semiHidden/>
    <w:unhideWhenUsed/>
    <w:qFormat/>
    <w:rsid w:val="004109DB"/>
    <w:pPr>
      <w:keepNext/>
      <w:keepLines/>
      <w:numPr>
        <w:ilvl w:val="5"/>
        <w:numId w:val="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Balk7Char"/>
    <w:uiPriority w:val="9"/>
    <w:semiHidden/>
    <w:unhideWhenUsed/>
    <w:qFormat/>
    <w:rsid w:val="004109DB"/>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alk8Char"/>
    <w:uiPriority w:val="9"/>
    <w:semiHidden/>
    <w:unhideWhenUsed/>
    <w:qFormat/>
    <w:rsid w:val="004109DB"/>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Balk9Char"/>
    <w:uiPriority w:val="9"/>
    <w:semiHidden/>
    <w:unhideWhenUsed/>
    <w:qFormat/>
    <w:rsid w:val="004109D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k1Char">
    <w:name w:val="Başlık 1 Char"/>
    <w:basedOn w:val="DefaultParagraphFont"/>
    <w:link w:val="Heading1"/>
    <w:uiPriority w:val="9"/>
    <w:rsid w:val="004109DB"/>
    <w:rPr>
      <w:rFonts w:asciiTheme="majorHAnsi" w:eastAsiaTheme="majorEastAsia" w:hAnsiTheme="majorHAnsi" w:cstheme="majorBidi"/>
      <w:b/>
      <w:bCs/>
      <w:smallCaps/>
      <w:color w:val="000000" w:themeColor="text1"/>
      <w:sz w:val="36"/>
      <w:szCs w:val="36"/>
    </w:rPr>
  </w:style>
  <w:style w:type="character" w:customStyle="1" w:styleId="Balk2Char">
    <w:name w:val="Başlık 2 Char"/>
    <w:basedOn w:val="DefaultParagraphFont"/>
    <w:link w:val="Heading2"/>
    <w:uiPriority w:val="9"/>
    <w:rsid w:val="00E442EF"/>
    <w:rPr>
      <w:rFonts w:asciiTheme="majorHAnsi" w:eastAsiaTheme="majorEastAsia" w:hAnsiTheme="majorHAnsi" w:cstheme="majorBidi"/>
      <w:b/>
      <w:bCs/>
      <w:smallCaps/>
      <w:color w:val="000000" w:themeColor="text1"/>
      <w:sz w:val="28"/>
      <w:szCs w:val="28"/>
    </w:rPr>
  </w:style>
  <w:style w:type="character" w:customStyle="1" w:styleId="Balk3Char">
    <w:name w:val="Başlık 3 Char"/>
    <w:basedOn w:val="DefaultParagraphFont"/>
    <w:link w:val="Heading3"/>
    <w:uiPriority w:val="9"/>
    <w:rsid w:val="0012322F"/>
    <w:rPr>
      <w:rFonts w:asciiTheme="majorHAnsi" w:eastAsiaTheme="majorEastAsia" w:hAnsiTheme="majorHAnsi" w:cstheme="majorBidi"/>
      <w:b/>
      <w:bCs/>
      <w:smallCaps/>
      <w:color w:val="000000" w:themeColor="text1"/>
    </w:rPr>
  </w:style>
  <w:style w:type="paragraph" w:styleId="ListParagraph">
    <w:name w:val="List Paragraph"/>
    <w:basedOn w:val="Normal"/>
    <w:link w:val="ListeParagrafChar"/>
    <w:uiPriority w:val="34"/>
    <w:qFormat/>
    <w:rsid w:val="008E6DEA"/>
    <w:pPr>
      <w:ind w:left="720"/>
      <w:contextualSpacing/>
    </w:pPr>
  </w:style>
  <w:style w:type="character" w:customStyle="1" w:styleId="Balk4Char">
    <w:name w:val="Başlık 4 Char"/>
    <w:basedOn w:val="DefaultParagraphFont"/>
    <w:link w:val="Heading4"/>
    <w:uiPriority w:val="9"/>
    <w:rsid w:val="004109DB"/>
    <w:rPr>
      <w:rFonts w:asciiTheme="majorHAnsi" w:eastAsiaTheme="majorEastAsia" w:hAnsiTheme="majorHAnsi" w:cstheme="majorBidi"/>
      <w:b/>
      <w:bCs/>
      <w:i/>
      <w:iCs/>
      <w:color w:val="000000" w:themeColor="text1"/>
    </w:rPr>
  </w:style>
  <w:style w:type="character" w:customStyle="1" w:styleId="Balk5Char">
    <w:name w:val="Başlık 5 Char"/>
    <w:basedOn w:val="DefaultParagraphFont"/>
    <w:link w:val="Heading5"/>
    <w:uiPriority w:val="9"/>
    <w:semiHidden/>
    <w:rsid w:val="004109DB"/>
    <w:rPr>
      <w:rFonts w:asciiTheme="majorHAnsi" w:eastAsiaTheme="majorEastAsia" w:hAnsiTheme="majorHAnsi" w:cstheme="majorBidi"/>
      <w:color w:val="323E4F" w:themeColor="text2" w:themeShade="BF"/>
    </w:rPr>
  </w:style>
  <w:style w:type="character" w:customStyle="1" w:styleId="Balk6Char">
    <w:name w:val="Başlık 6 Char"/>
    <w:basedOn w:val="DefaultParagraphFont"/>
    <w:link w:val="Heading6"/>
    <w:uiPriority w:val="9"/>
    <w:semiHidden/>
    <w:rsid w:val="004109DB"/>
    <w:rPr>
      <w:rFonts w:asciiTheme="majorHAnsi" w:eastAsiaTheme="majorEastAsia" w:hAnsiTheme="majorHAnsi" w:cstheme="majorBidi"/>
      <w:i/>
      <w:iCs/>
      <w:color w:val="323E4F" w:themeColor="text2" w:themeShade="BF"/>
    </w:rPr>
  </w:style>
  <w:style w:type="character" w:customStyle="1" w:styleId="Balk7Char">
    <w:name w:val="Başlık 7 Char"/>
    <w:basedOn w:val="DefaultParagraphFont"/>
    <w:link w:val="Heading7"/>
    <w:uiPriority w:val="9"/>
    <w:semiHidden/>
    <w:rsid w:val="004109DB"/>
    <w:rPr>
      <w:rFonts w:asciiTheme="majorHAnsi" w:eastAsiaTheme="majorEastAsia" w:hAnsiTheme="majorHAnsi" w:cstheme="majorBidi"/>
      <w:i/>
      <w:iCs/>
      <w:color w:val="404040" w:themeColor="text1" w:themeTint="BF"/>
    </w:rPr>
  </w:style>
  <w:style w:type="character" w:customStyle="1" w:styleId="Balk8Char">
    <w:name w:val="Başlık 8 Char"/>
    <w:basedOn w:val="DefaultParagraphFont"/>
    <w:link w:val="Heading8"/>
    <w:uiPriority w:val="9"/>
    <w:semiHidden/>
    <w:rsid w:val="004109DB"/>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DefaultParagraphFont"/>
    <w:link w:val="Heading9"/>
    <w:uiPriority w:val="9"/>
    <w:semiHidden/>
    <w:rsid w:val="004109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109DB"/>
    <w:pPr>
      <w:spacing w:after="200" w:line="240" w:lineRule="auto"/>
    </w:pPr>
    <w:rPr>
      <w:i/>
      <w:iCs/>
      <w:color w:val="44546A" w:themeColor="text2"/>
      <w:sz w:val="18"/>
      <w:szCs w:val="18"/>
    </w:rPr>
  </w:style>
  <w:style w:type="paragraph" w:styleId="Title">
    <w:name w:val="Title"/>
    <w:basedOn w:val="Normal"/>
    <w:next w:val="Normal"/>
    <w:link w:val="KonuBalChar"/>
    <w:uiPriority w:val="10"/>
    <w:qFormat/>
    <w:rsid w:val="004109D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KonuBalChar">
    <w:name w:val="Konu Başlığı Char"/>
    <w:basedOn w:val="DefaultParagraphFont"/>
    <w:link w:val="Title"/>
    <w:uiPriority w:val="10"/>
    <w:rsid w:val="004109D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AltyazChar"/>
    <w:uiPriority w:val="11"/>
    <w:qFormat/>
    <w:rsid w:val="004109DB"/>
    <w:pPr>
      <w:numPr>
        <w:ilvl w:val="1"/>
      </w:numPr>
    </w:pPr>
    <w:rPr>
      <w:color w:val="5A5A5A" w:themeColor="text1" w:themeTint="A5"/>
      <w:spacing w:val="10"/>
    </w:rPr>
  </w:style>
  <w:style w:type="character" w:customStyle="1" w:styleId="AltyazChar">
    <w:name w:val="Altyazı Char"/>
    <w:basedOn w:val="DefaultParagraphFont"/>
    <w:link w:val="Subtitle"/>
    <w:uiPriority w:val="11"/>
    <w:rsid w:val="004109DB"/>
    <w:rPr>
      <w:color w:val="5A5A5A" w:themeColor="text1" w:themeTint="A5"/>
      <w:spacing w:val="10"/>
    </w:rPr>
  </w:style>
  <w:style w:type="character" w:styleId="Strong">
    <w:name w:val="Strong"/>
    <w:basedOn w:val="DefaultParagraphFont"/>
    <w:uiPriority w:val="22"/>
    <w:qFormat/>
    <w:rsid w:val="004109DB"/>
    <w:rPr>
      <w:b/>
      <w:bCs/>
      <w:color w:val="000000" w:themeColor="text1"/>
    </w:rPr>
  </w:style>
  <w:style w:type="character" w:styleId="Emphasis">
    <w:name w:val="Emphasis"/>
    <w:basedOn w:val="DefaultParagraphFont"/>
    <w:uiPriority w:val="20"/>
    <w:qFormat/>
    <w:rsid w:val="004109DB"/>
    <w:rPr>
      <w:i/>
      <w:iCs/>
      <w:color w:val="auto"/>
    </w:rPr>
  </w:style>
  <w:style w:type="paragraph" w:styleId="NoSpacing">
    <w:name w:val="No Spacing"/>
    <w:uiPriority w:val="1"/>
    <w:qFormat/>
    <w:rsid w:val="004109DB"/>
    <w:pPr>
      <w:spacing w:after="0" w:line="240" w:lineRule="auto"/>
    </w:pPr>
  </w:style>
  <w:style w:type="paragraph" w:styleId="Quote">
    <w:name w:val="Quote"/>
    <w:basedOn w:val="Normal"/>
    <w:next w:val="Normal"/>
    <w:link w:val="AlntChar"/>
    <w:uiPriority w:val="29"/>
    <w:qFormat/>
    <w:rsid w:val="004109DB"/>
    <w:pPr>
      <w:spacing w:before="160"/>
      <w:ind w:left="720" w:right="720"/>
    </w:pPr>
    <w:rPr>
      <w:i/>
      <w:iCs/>
      <w:color w:val="000000" w:themeColor="text1"/>
    </w:rPr>
  </w:style>
  <w:style w:type="character" w:customStyle="1" w:styleId="AlntChar">
    <w:name w:val="Alıntı Char"/>
    <w:basedOn w:val="DefaultParagraphFont"/>
    <w:link w:val="Quote"/>
    <w:uiPriority w:val="29"/>
    <w:rsid w:val="004109DB"/>
    <w:rPr>
      <w:i/>
      <w:iCs/>
      <w:color w:val="000000" w:themeColor="text1"/>
    </w:rPr>
  </w:style>
  <w:style w:type="paragraph" w:styleId="IntenseQuote">
    <w:name w:val="Intense Quote"/>
    <w:basedOn w:val="Normal"/>
    <w:next w:val="Normal"/>
    <w:link w:val="GlAlntChar"/>
    <w:uiPriority w:val="30"/>
    <w:qFormat/>
    <w:rsid w:val="004109D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GlAlntChar">
    <w:name w:val="Güçlü Alıntı Char"/>
    <w:basedOn w:val="DefaultParagraphFont"/>
    <w:link w:val="IntenseQuote"/>
    <w:uiPriority w:val="30"/>
    <w:rsid w:val="004109DB"/>
    <w:rPr>
      <w:color w:val="000000" w:themeColor="text1"/>
      <w:shd w:val="clear" w:color="auto" w:fill="F2F2F2" w:themeFill="background1" w:themeFillShade="F2"/>
    </w:rPr>
  </w:style>
  <w:style w:type="character" w:styleId="SubtleEmphasis">
    <w:name w:val="Subtle Emphasis"/>
    <w:basedOn w:val="DefaultParagraphFont"/>
    <w:uiPriority w:val="19"/>
    <w:qFormat/>
    <w:rsid w:val="004109DB"/>
    <w:rPr>
      <w:i/>
      <w:iCs/>
      <w:color w:val="404040" w:themeColor="text1" w:themeTint="BF"/>
    </w:rPr>
  </w:style>
  <w:style w:type="character" w:styleId="IntenseEmphasis">
    <w:name w:val="Intense Emphasis"/>
    <w:basedOn w:val="DefaultParagraphFont"/>
    <w:uiPriority w:val="21"/>
    <w:qFormat/>
    <w:rsid w:val="004109DB"/>
    <w:rPr>
      <w:b/>
      <w:bCs/>
      <w:i/>
      <w:iCs/>
      <w:caps/>
    </w:rPr>
  </w:style>
  <w:style w:type="character" w:styleId="SubtleReference">
    <w:name w:val="Subtle Reference"/>
    <w:basedOn w:val="DefaultParagraphFont"/>
    <w:uiPriority w:val="31"/>
    <w:qFormat/>
    <w:rsid w:val="004109DB"/>
    <w:rPr>
      <w:smallCaps/>
      <w:color w:val="404040" w:themeColor="text1" w:themeTint="BF"/>
      <w:u w:val="single" w:color="7F7F7F"/>
    </w:rPr>
  </w:style>
  <w:style w:type="character" w:styleId="IntenseReference">
    <w:name w:val="Intense Reference"/>
    <w:basedOn w:val="DefaultParagraphFont"/>
    <w:uiPriority w:val="32"/>
    <w:qFormat/>
    <w:rsid w:val="004109DB"/>
    <w:rPr>
      <w:b/>
      <w:bCs/>
      <w:smallCaps/>
      <w:u w:val="single"/>
    </w:rPr>
  </w:style>
  <w:style w:type="character" w:styleId="BookTitle">
    <w:name w:val="Book Title"/>
    <w:basedOn w:val="DefaultParagraphFont"/>
    <w:uiPriority w:val="33"/>
    <w:qFormat/>
    <w:rsid w:val="004109DB"/>
    <w:rPr>
      <w:b w:val="0"/>
      <w:bCs w:val="0"/>
      <w:smallCaps/>
      <w:spacing w:val="5"/>
    </w:rPr>
  </w:style>
  <w:style w:type="paragraph" w:styleId="TOCHeading">
    <w:name w:val="TOC Heading"/>
    <w:basedOn w:val="Heading1"/>
    <w:next w:val="Normal"/>
    <w:uiPriority w:val="39"/>
    <w:unhideWhenUsed/>
    <w:qFormat/>
    <w:rsid w:val="004109DB"/>
    <w:pPr>
      <w:outlineLvl w:val="9"/>
    </w:pPr>
  </w:style>
  <w:style w:type="paragraph" w:styleId="Header">
    <w:name w:val="header"/>
    <w:basedOn w:val="Normal"/>
    <w:link w:val="stBilgiChar"/>
    <w:uiPriority w:val="99"/>
    <w:unhideWhenUsed/>
    <w:rsid w:val="00F215FA"/>
    <w:pPr>
      <w:tabs>
        <w:tab w:val="center" w:pos="4536"/>
        <w:tab w:val="right" w:pos="9072"/>
      </w:tabs>
      <w:spacing w:after="0" w:line="240" w:lineRule="auto"/>
    </w:pPr>
  </w:style>
  <w:style w:type="character" w:customStyle="1" w:styleId="stBilgiChar">
    <w:name w:val="Üst Bilgi Char"/>
    <w:basedOn w:val="DefaultParagraphFont"/>
    <w:link w:val="Header"/>
    <w:uiPriority w:val="99"/>
    <w:rsid w:val="00F215FA"/>
  </w:style>
  <w:style w:type="paragraph" w:styleId="Footer">
    <w:name w:val="footer"/>
    <w:basedOn w:val="Normal"/>
    <w:link w:val="AltBilgiChar"/>
    <w:uiPriority w:val="99"/>
    <w:unhideWhenUsed/>
    <w:rsid w:val="00F215FA"/>
    <w:pPr>
      <w:tabs>
        <w:tab w:val="center" w:pos="4536"/>
        <w:tab w:val="right" w:pos="9072"/>
      </w:tabs>
      <w:spacing w:after="0" w:line="240" w:lineRule="auto"/>
    </w:pPr>
  </w:style>
  <w:style w:type="character" w:customStyle="1" w:styleId="AltBilgiChar">
    <w:name w:val="Alt Bilgi Char"/>
    <w:basedOn w:val="DefaultParagraphFont"/>
    <w:link w:val="Footer"/>
    <w:uiPriority w:val="99"/>
    <w:rsid w:val="00F215FA"/>
  </w:style>
  <w:style w:type="table" w:styleId="TableGrid">
    <w:name w:val="Table Grid"/>
    <w:basedOn w:val="TableNormal"/>
    <w:uiPriority w:val="39"/>
    <w:rsid w:val="00F2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0A99"/>
    <w:pPr>
      <w:spacing w:after="100"/>
    </w:pPr>
  </w:style>
  <w:style w:type="paragraph" w:styleId="TOC2">
    <w:name w:val="toc 2"/>
    <w:basedOn w:val="Normal"/>
    <w:next w:val="Normal"/>
    <w:autoRedefine/>
    <w:uiPriority w:val="39"/>
    <w:unhideWhenUsed/>
    <w:qFormat/>
    <w:rsid w:val="008F0A99"/>
    <w:pPr>
      <w:spacing w:after="100"/>
      <w:ind w:left="220"/>
    </w:pPr>
  </w:style>
  <w:style w:type="paragraph" w:styleId="TOC3">
    <w:name w:val="toc 3"/>
    <w:basedOn w:val="Normal"/>
    <w:next w:val="Normal"/>
    <w:autoRedefine/>
    <w:uiPriority w:val="39"/>
    <w:unhideWhenUsed/>
    <w:qFormat/>
    <w:rsid w:val="008F0A99"/>
    <w:pPr>
      <w:spacing w:after="100"/>
      <w:ind w:left="440"/>
    </w:pPr>
  </w:style>
  <w:style w:type="character" w:styleId="Hyperlink">
    <w:name w:val="Hyperlink"/>
    <w:basedOn w:val="DefaultParagraphFont"/>
    <w:uiPriority w:val="99"/>
    <w:unhideWhenUsed/>
    <w:rsid w:val="008F0A99"/>
    <w:rPr>
      <w:color w:val="0563C1" w:themeColor="hyperlink"/>
      <w:u w:val="single"/>
    </w:rPr>
  </w:style>
  <w:style w:type="paragraph" w:styleId="BalloonText">
    <w:name w:val="Balloon Text"/>
    <w:basedOn w:val="Normal"/>
    <w:link w:val="BalonMetniChar"/>
    <w:uiPriority w:val="99"/>
    <w:semiHidden/>
    <w:unhideWhenUsed/>
    <w:rsid w:val="00F80AFD"/>
    <w:pPr>
      <w:spacing w:after="0" w:line="240" w:lineRule="auto"/>
    </w:pPr>
    <w:rPr>
      <w:rFonts w:ascii="Tahoma" w:hAnsi="Tahoma" w:cs="Tahoma"/>
      <w:sz w:val="16"/>
      <w:szCs w:val="16"/>
    </w:rPr>
  </w:style>
  <w:style w:type="character" w:customStyle="1" w:styleId="BalonMetniChar">
    <w:name w:val="Balon Metni Char"/>
    <w:basedOn w:val="DefaultParagraphFont"/>
    <w:link w:val="BalloonText"/>
    <w:uiPriority w:val="99"/>
    <w:semiHidden/>
    <w:rsid w:val="00F80AFD"/>
    <w:rPr>
      <w:rFonts w:ascii="Tahoma" w:hAnsi="Tahoma" w:cs="Tahoma"/>
      <w:sz w:val="16"/>
      <w:szCs w:val="16"/>
    </w:rPr>
  </w:style>
  <w:style w:type="paragraph" w:customStyle="1" w:styleId="DecimalAligned">
    <w:name w:val="Decimal Aligned"/>
    <w:basedOn w:val="Normal"/>
    <w:uiPriority w:val="40"/>
    <w:qFormat/>
    <w:rsid w:val="006870A0"/>
    <w:pPr>
      <w:tabs>
        <w:tab w:val="decimal" w:pos="360"/>
      </w:tabs>
      <w:spacing w:after="200" w:line="276" w:lineRule="auto"/>
    </w:pPr>
    <w:rPr>
      <w:rFonts w:eastAsiaTheme="minorHAnsi"/>
      <w:lang w:eastAsia="tr-TR"/>
    </w:rPr>
  </w:style>
  <w:style w:type="paragraph" w:styleId="FootnoteText">
    <w:name w:val="footnote text"/>
    <w:basedOn w:val="Normal"/>
    <w:link w:val="DipnotMetniChar"/>
    <w:uiPriority w:val="99"/>
    <w:unhideWhenUsed/>
    <w:rsid w:val="006870A0"/>
    <w:pPr>
      <w:spacing w:after="0" w:line="240" w:lineRule="auto"/>
    </w:pPr>
    <w:rPr>
      <w:sz w:val="20"/>
      <w:szCs w:val="20"/>
      <w:lang w:eastAsia="tr-TR"/>
    </w:rPr>
  </w:style>
  <w:style w:type="character" w:customStyle="1" w:styleId="DipnotMetniChar">
    <w:name w:val="Dipnot Metni Char"/>
    <w:basedOn w:val="DefaultParagraphFont"/>
    <w:link w:val="FootnoteText"/>
    <w:uiPriority w:val="99"/>
    <w:rsid w:val="006870A0"/>
    <w:rPr>
      <w:sz w:val="20"/>
      <w:szCs w:val="20"/>
      <w:lang w:eastAsia="tr-TR"/>
    </w:rPr>
  </w:style>
  <w:style w:type="table" w:styleId="LightShadingAccent1">
    <w:name w:val="Light Shading Accent 1"/>
    <w:basedOn w:val="TableNormal"/>
    <w:uiPriority w:val="60"/>
    <w:rsid w:val="006870A0"/>
    <w:pPr>
      <w:spacing w:after="0" w:line="240" w:lineRule="auto"/>
    </w:pPr>
    <w:rPr>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CommentReference">
    <w:name w:val="annotation reference"/>
    <w:basedOn w:val="DefaultParagraphFont"/>
    <w:uiPriority w:val="99"/>
    <w:semiHidden/>
    <w:unhideWhenUsed/>
    <w:rsid w:val="00655D45"/>
    <w:rPr>
      <w:sz w:val="16"/>
      <w:szCs w:val="16"/>
    </w:rPr>
  </w:style>
  <w:style w:type="paragraph" w:styleId="CommentText">
    <w:name w:val="annotation text"/>
    <w:basedOn w:val="Normal"/>
    <w:link w:val="AklamaMetniChar"/>
    <w:uiPriority w:val="99"/>
    <w:semiHidden/>
    <w:unhideWhenUsed/>
    <w:rsid w:val="00655D45"/>
    <w:pPr>
      <w:spacing w:line="240" w:lineRule="auto"/>
    </w:pPr>
    <w:rPr>
      <w:sz w:val="20"/>
      <w:szCs w:val="20"/>
    </w:rPr>
  </w:style>
  <w:style w:type="character" w:customStyle="1" w:styleId="AklamaMetniChar">
    <w:name w:val="Açıklama Metni Char"/>
    <w:basedOn w:val="DefaultParagraphFont"/>
    <w:link w:val="CommentText"/>
    <w:uiPriority w:val="99"/>
    <w:semiHidden/>
    <w:rsid w:val="00655D45"/>
    <w:rPr>
      <w:sz w:val="20"/>
      <w:szCs w:val="20"/>
    </w:rPr>
  </w:style>
  <w:style w:type="paragraph" w:styleId="CommentSubject">
    <w:name w:val="annotation subject"/>
    <w:basedOn w:val="CommentText"/>
    <w:next w:val="CommentText"/>
    <w:link w:val="AklamaKonusuChar"/>
    <w:uiPriority w:val="99"/>
    <w:semiHidden/>
    <w:unhideWhenUsed/>
    <w:rsid w:val="00655D45"/>
    <w:rPr>
      <w:b/>
      <w:bCs/>
    </w:rPr>
  </w:style>
  <w:style w:type="character" w:customStyle="1" w:styleId="AklamaKonusuChar">
    <w:name w:val="Açıklama Konusu Char"/>
    <w:basedOn w:val="AklamaMetniChar"/>
    <w:link w:val="CommentSubject"/>
    <w:uiPriority w:val="99"/>
    <w:semiHidden/>
    <w:rsid w:val="00655D45"/>
    <w:rPr>
      <w:b/>
      <w:bCs/>
      <w:sz w:val="20"/>
      <w:szCs w:val="20"/>
    </w:rPr>
  </w:style>
  <w:style w:type="character" w:customStyle="1" w:styleId="ListeParagrafChar">
    <w:name w:val="Liste Paragraf Char"/>
    <w:basedOn w:val="DefaultParagraphFont"/>
    <w:link w:val="ListParagraph"/>
    <w:uiPriority w:val="34"/>
    <w:rsid w:val="007B116A"/>
  </w:style>
  <w:style w:type="paragraph" w:styleId="NormalWeb">
    <w:name w:val="Normal (Web)"/>
    <w:basedOn w:val="Normal"/>
    <w:uiPriority w:val="99"/>
    <w:unhideWhenUsed/>
    <w:rsid w:val="009C5E9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mailto:uludag@etikhat.com" TargetMode="External" /><Relationship Id="rId8" Type="http://schemas.openxmlformats.org/officeDocument/2006/relationships/hyperlink" Target="https://www.remedetikhat.com.tr/login" TargetMode="Externa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0BD99-A84B-4A26-A05C-78D328E7C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Pages>
  <Words>1280</Words>
  <Characters>7299</Characters>
  <Application>Microsoft Office Word</Application>
  <DocSecurity>0</DocSecurity>
  <Lines>60</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Bodur</dc:creator>
  <cp:lastModifiedBy>025689 Merve Ozgel</cp:lastModifiedBy>
  <cp:revision>28</cp:revision>
  <dcterms:created xsi:type="dcterms:W3CDTF">2023-08-16T06:23:00Z</dcterms:created>
  <dcterms:modified xsi:type="dcterms:W3CDTF">2024-09-09T10:56:00Z</dcterms:modified>
</cp:coreProperties>
</file>